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40E0" w14:textId="77777777" w:rsidR="00F646EB" w:rsidRPr="004104AE" w:rsidRDefault="00F646EB" w:rsidP="00EF3038">
      <w:pPr>
        <w:pStyle w:val="Heading1"/>
        <w:spacing w:after="120"/>
      </w:pPr>
      <w:r>
        <w:t>CURRICULUM FRAMEWORK</w:t>
      </w:r>
      <w:r w:rsidRPr="004104AE">
        <w:t xml:space="preserve"> POLICY</w:t>
      </w:r>
    </w:p>
    <w:p w14:paraId="7C7312E7" w14:textId="7CF991CA" w:rsidR="00F646EB" w:rsidRPr="00354DFE" w:rsidRDefault="00F646EB" w:rsidP="00F646EB">
      <w:pPr>
        <w:pStyle w:val="Bullet1"/>
        <w:numPr>
          <w:ilvl w:val="0"/>
          <w:numId w:val="0"/>
        </w:numPr>
        <w:ind w:left="720" w:hanging="360"/>
        <w:rPr>
          <w:rFonts w:ascii="Times New Roman" w:hAnsi="Times New Roman"/>
          <w:b/>
          <w:bCs/>
          <w:sz w:val="24"/>
        </w:rPr>
      </w:pPr>
      <w:r w:rsidRPr="00354DFE">
        <w:rPr>
          <w:rFonts w:ascii="Times New Roman" w:hAnsi="Times New Roman"/>
          <w:noProof/>
          <w:sz w:val="24"/>
        </w:rPr>
        <w:drawing>
          <wp:anchor distT="0" distB="0" distL="114300" distR="114300" simplePos="0" relativeHeight="251660288" behindDoc="0" locked="0" layoutInCell="1" allowOverlap="1" wp14:anchorId="715F921C" wp14:editId="140773FE">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DFE">
        <w:rPr>
          <w:rFonts w:ascii="Times New Roman" w:hAnsi="Times New Roman"/>
          <w:b/>
          <w:bCs/>
          <w:sz w:val="24"/>
        </w:rPr>
        <w:t xml:space="preserve">Help for non-English </w:t>
      </w:r>
      <w:proofErr w:type="gramStart"/>
      <w:r w:rsidRPr="00354DFE">
        <w:rPr>
          <w:rFonts w:ascii="Times New Roman" w:hAnsi="Times New Roman"/>
          <w:b/>
          <w:bCs/>
          <w:sz w:val="24"/>
        </w:rPr>
        <w:t>speakers</w:t>
      </w:r>
      <w:proofErr w:type="gramEnd"/>
    </w:p>
    <w:p w14:paraId="65A9244C" w14:textId="77777777" w:rsidR="00F646EB" w:rsidRPr="00354DFE" w:rsidRDefault="00F646EB" w:rsidP="00F646EB">
      <w:pPr>
        <w:pStyle w:val="Bullet1"/>
        <w:numPr>
          <w:ilvl w:val="0"/>
          <w:numId w:val="0"/>
        </w:numPr>
        <w:ind w:left="720"/>
        <w:rPr>
          <w:rFonts w:ascii="Times New Roman" w:hAnsi="Times New Roman"/>
          <w:sz w:val="24"/>
        </w:rPr>
      </w:pPr>
      <w:r w:rsidRPr="00354DFE">
        <w:rPr>
          <w:rFonts w:ascii="Times New Roman" w:hAnsi="Times New Roman"/>
          <w:sz w:val="24"/>
        </w:rPr>
        <w:t>If you need help to understand this policy, please contact the office on 5998 2304.</w:t>
      </w:r>
    </w:p>
    <w:p w14:paraId="24E26588" w14:textId="77777777" w:rsidR="00F646EB" w:rsidRDefault="00F646EB" w:rsidP="00F646EB">
      <w:pPr>
        <w:pStyle w:val="Heading2"/>
        <w:spacing w:after="120"/>
      </w:pPr>
    </w:p>
    <w:p w14:paraId="1F0474FF" w14:textId="77777777" w:rsidR="00EF3038" w:rsidRPr="00EF3038" w:rsidRDefault="00EF3038" w:rsidP="00F646EB">
      <w:pPr>
        <w:pStyle w:val="Heading2"/>
        <w:spacing w:after="120"/>
        <w:rPr>
          <w:sz w:val="8"/>
          <w:szCs w:val="8"/>
        </w:rPr>
      </w:pPr>
    </w:p>
    <w:p w14:paraId="64F01748" w14:textId="77777777" w:rsidR="00382D0C" w:rsidRPr="0018149B" w:rsidRDefault="00382D0C" w:rsidP="00382D0C">
      <w:pPr>
        <w:jc w:val="both"/>
        <w:outlineLvl w:val="1"/>
        <w:rPr>
          <w:rFonts w:eastAsiaTheme="majorEastAsia" w:cstheme="minorHAnsi"/>
          <w:b/>
          <w:caps/>
          <w:sz w:val="24"/>
          <w:szCs w:val="24"/>
        </w:rPr>
      </w:pPr>
      <w:r w:rsidRPr="0018149B">
        <w:rPr>
          <w:rFonts w:eastAsiaTheme="majorEastAsia" w:cstheme="minorHAnsi"/>
          <w:b/>
          <w:caps/>
          <w:sz w:val="24"/>
          <w:szCs w:val="24"/>
        </w:rPr>
        <w:t>Purpose</w:t>
      </w:r>
    </w:p>
    <w:p w14:paraId="69BA0C68" w14:textId="63719111" w:rsidR="00382D0C" w:rsidRPr="0018149B" w:rsidRDefault="00382D0C" w:rsidP="00382D0C">
      <w:pPr>
        <w:jc w:val="both"/>
        <w:rPr>
          <w:rFonts w:cstheme="minorHAnsi"/>
          <w:sz w:val="24"/>
          <w:szCs w:val="24"/>
        </w:rPr>
      </w:pPr>
      <w:r w:rsidRPr="0018149B">
        <w:rPr>
          <w:rFonts w:cstheme="minorHAnsi"/>
          <w:sz w:val="24"/>
          <w:szCs w:val="24"/>
        </w:rPr>
        <w:t xml:space="preserve">The purpose of this framework is to outline </w:t>
      </w:r>
      <w:r w:rsidR="00D44694" w:rsidRPr="0018149B">
        <w:rPr>
          <w:rFonts w:cstheme="minorHAnsi"/>
          <w:sz w:val="24"/>
          <w:szCs w:val="24"/>
        </w:rPr>
        <w:t>Devon Meadows Primary School</w:t>
      </w:r>
      <w:r w:rsidRPr="0018149B">
        <w:rPr>
          <w:rFonts w:cstheme="minorHAnsi"/>
          <w:sz w:val="24"/>
          <w:szCs w:val="24"/>
        </w:rPr>
        <w:t>’s organisation, implementation and review of curriculum and teaching practices and to ensure that, taken as a whole, all eight learning areas are substantially addressed, unless an exemption applies.</w:t>
      </w:r>
    </w:p>
    <w:p w14:paraId="217AD729" w14:textId="77777777" w:rsidR="00382D0C" w:rsidRPr="0018149B" w:rsidRDefault="00382D0C" w:rsidP="00382D0C">
      <w:pPr>
        <w:jc w:val="both"/>
        <w:rPr>
          <w:rFonts w:cstheme="minorHAnsi"/>
          <w:sz w:val="24"/>
          <w:szCs w:val="24"/>
        </w:rPr>
      </w:pPr>
      <w:r w:rsidRPr="0018149B">
        <w:rPr>
          <w:rFonts w:cstheme="minorHAnsi"/>
          <w:sz w:val="24"/>
          <w:szCs w:val="24"/>
        </w:rPr>
        <w:t>The framework shows, at a high level, how the school will deliver its curriculum, how the curriculum and teaching practice will be reviewed, how we assess student learning, how we record and monitor student performance, and when and how we report to parents.</w:t>
      </w:r>
    </w:p>
    <w:p w14:paraId="009D1086" w14:textId="77777777" w:rsidR="00382D0C" w:rsidRPr="0018149B" w:rsidRDefault="00382D0C" w:rsidP="00382D0C">
      <w:pPr>
        <w:jc w:val="both"/>
        <w:rPr>
          <w:rFonts w:cstheme="minorHAnsi"/>
          <w:sz w:val="24"/>
          <w:szCs w:val="24"/>
        </w:rPr>
      </w:pPr>
      <w:r w:rsidRPr="0018149B">
        <w:rPr>
          <w:rFonts w:cstheme="minorHAnsi"/>
          <w:sz w:val="24"/>
          <w:szCs w:val="24"/>
        </w:rPr>
        <w:t>This curriculum framework should be read alongside our whole school, curriculum area, year level and unit / lesson curriculum plans.</w:t>
      </w:r>
    </w:p>
    <w:p w14:paraId="248F82E1" w14:textId="77777777" w:rsidR="00382D0C" w:rsidRPr="0018149B" w:rsidRDefault="00382D0C" w:rsidP="00382D0C">
      <w:pPr>
        <w:jc w:val="both"/>
        <w:outlineLvl w:val="1"/>
        <w:rPr>
          <w:rFonts w:eastAsiaTheme="majorEastAsia" w:cstheme="minorHAnsi"/>
          <w:b/>
          <w:caps/>
          <w:sz w:val="24"/>
          <w:szCs w:val="24"/>
        </w:rPr>
      </w:pPr>
      <w:r w:rsidRPr="0018149B">
        <w:rPr>
          <w:rFonts w:eastAsiaTheme="majorEastAsia" w:cstheme="minorHAnsi"/>
          <w:b/>
          <w:caps/>
          <w:sz w:val="24"/>
          <w:szCs w:val="24"/>
        </w:rPr>
        <w:t>overview</w:t>
      </w:r>
    </w:p>
    <w:p w14:paraId="309CACEF" w14:textId="561F86B5" w:rsidR="00382D0C" w:rsidRPr="00705209" w:rsidRDefault="00D44694" w:rsidP="00382D0C">
      <w:pPr>
        <w:jc w:val="both"/>
        <w:rPr>
          <w:rFonts w:cstheme="minorHAnsi"/>
          <w:sz w:val="24"/>
          <w:szCs w:val="24"/>
        </w:rPr>
      </w:pPr>
      <w:r w:rsidRPr="0018149B">
        <w:rPr>
          <w:rFonts w:cstheme="minorHAnsi"/>
          <w:sz w:val="24"/>
          <w:szCs w:val="24"/>
        </w:rPr>
        <w:t xml:space="preserve">Devon Meadows Primary School </w:t>
      </w:r>
      <w:r w:rsidR="00382D0C" w:rsidRPr="0018149B">
        <w:rPr>
          <w:rFonts w:cstheme="minorHAnsi"/>
          <w:sz w:val="24"/>
          <w:szCs w:val="24"/>
        </w:rPr>
        <w:t xml:space="preserve">provides all students with a planned and structured curriculum to equip them with the </w:t>
      </w:r>
      <w:r w:rsidR="00382D0C" w:rsidRPr="00705209">
        <w:rPr>
          <w:rFonts w:cstheme="minorHAnsi"/>
          <w:sz w:val="24"/>
          <w:szCs w:val="24"/>
        </w:rPr>
        <w:t>knowledge, skills and attributes needed to complete their schooling and to make a successful transition from school to work, training, or further education.</w:t>
      </w:r>
    </w:p>
    <w:p w14:paraId="05A31ED6" w14:textId="314AFE0E" w:rsidR="00382D0C" w:rsidRPr="00705209" w:rsidRDefault="00D44694" w:rsidP="00382D0C">
      <w:pPr>
        <w:pStyle w:val="Default"/>
        <w:rPr>
          <w:rFonts w:asciiTheme="minorHAnsi" w:hAnsiTheme="minorHAnsi" w:cstheme="minorHAnsi"/>
        </w:rPr>
      </w:pPr>
      <w:r w:rsidRPr="00705209">
        <w:rPr>
          <w:rFonts w:asciiTheme="minorHAnsi" w:hAnsiTheme="minorHAnsi" w:cstheme="minorHAnsi"/>
        </w:rPr>
        <w:t xml:space="preserve">Devon Meadows Primary School </w:t>
      </w:r>
      <w:r w:rsidR="00382D0C" w:rsidRPr="00705209">
        <w:rPr>
          <w:rFonts w:asciiTheme="minorHAnsi" w:hAnsiTheme="minorHAnsi" w:cstheme="minorHAnsi"/>
        </w:rPr>
        <w:t xml:space="preserve">is committed to offering a comprehensive curriculum based on the </w:t>
      </w:r>
      <w:hyperlink r:id="rId8" w:history="1">
        <w:r w:rsidR="00382D0C" w:rsidRPr="00705209">
          <w:rPr>
            <w:rStyle w:val="Hyperlink"/>
            <w:rFonts w:asciiTheme="minorHAnsi" w:hAnsiTheme="minorHAnsi" w:cstheme="minorHAnsi"/>
          </w:rPr>
          <w:t>Victorian Curriculum F-10</w:t>
        </w:r>
      </w:hyperlink>
      <w:r w:rsidR="00382D0C" w:rsidRPr="00705209">
        <w:rPr>
          <w:rFonts w:asciiTheme="minorHAnsi" w:hAnsiTheme="minorHAnsi" w:cstheme="minorHAnsi"/>
        </w:rPr>
        <w:t xml:space="preserve">. The key points in this framework, and in line with the </w:t>
      </w:r>
      <w:hyperlink r:id="rId9" w:tgtFrame="_blank" w:history="1">
        <w:r w:rsidR="00382D0C" w:rsidRPr="00705209">
          <w:rPr>
            <w:rStyle w:val="Hyperlink"/>
            <w:rFonts w:asciiTheme="minorHAnsi" w:hAnsiTheme="minorHAnsi" w:cstheme="minorHAnsi"/>
          </w:rPr>
          <w:t>F–10 Revised Curriculum Planning and Reporting Guidelines</w:t>
        </w:r>
      </w:hyperlink>
      <w:r w:rsidR="00382D0C" w:rsidRPr="00705209">
        <w:rPr>
          <w:rFonts w:asciiTheme="minorHAnsi" w:hAnsiTheme="minorHAnsi" w:cstheme="minorHAnsi"/>
        </w:rPr>
        <w:t>, are a commitment to:</w:t>
      </w:r>
    </w:p>
    <w:p w14:paraId="5DE2B6F1" w14:textId="77777777" w:rsidR="00382D0C" w:rsidRPr="00705209" w:rsidRDefault="00382D0C" w:rsidP="00382D0C">
      <w:pPr>
        <w:pStyle w:val="ListParagraph"/>
        <w:numPr>
          <w:ilvl w:val="0"/>
          <w:numId w:val="4"/>
        </w:numPr>
        <w:jc w:val="both"/>
        <w:rPr>
          <w:rFonts w:cstheme="minorHAnsi"/>
          <w:sz w:val="24"/>
          <w:szCs w:val="24"/>
        </w:rPr>
      </w:pPr>
      <w:r w:rsidRPr="00705209">
        <w:rPr>
          <w:rFonts w:cstheme="minorHAnsi"/>
          <w:sz w:val="24"/>
          <w:szCs w:val="24"/>
        </w:rPr>
        <w:t xml:space="preserve">A defined curriculum content is the basis for student </w:t>
      </w:r>
      <w:proofErr w:type="gramStart"/>
      <w:r w:rsidRPr="00705209">
        <w:rPr>
          <w:rFonts w:cstheme="minorHAnsi"/>
          <w:sz w:val="24"/>
          <w:szCs w:val="24"/>
        </w:rPr>
        <w:t>learning</w:t>
      </w:r>
      <w:proofErr w:type="gramEnd"/>
    </w:p>
    <w:p w14:paraId="5D9130C6" w14:textId="77777777" w:rsidR="00382D0C" w:rsidRPr="00705209" w:rsidRDefault="00382D0C" w:rsidP="00382D0C">
      <w:pPr>
        <w:pStyle w:val="ListParagraph"/>
        <w:numPr>
          <w:ilvl w:val="0"/>
          <w:numId w:val="4"/>
        </w:numPr>
        <w:jc w:val="both"/>
        <w:rPr>
          <w:rFonts w:cstheme="minorHAnsi"/>
          <w:sz w:val="24"/>
          <w:szCs w:val="24"/>
        </w:rPr>
      </w:pPr>
      <w:r w:rsidRPr="00705209">
        <w:rPr>
          <w:rFonts w:cstheme="minorHAnsi"/>
          <w:sz w:val="24"/>
          <w:szCs w:val="24"/>
        </w:rPr>
        <w:t xml:space="preserve">Curriculum planning that is based on two-year bands of schooling rather than each year </w:t>
      </w:r>
      <w:proofErr w:type="gramStart"/>
      <w:r w:rsidRPr="00705209">
        <w:rPr>
          <w:rFonts w:cstheme="minorHAnsi"/>
          <w:sz w:val="24"/>
          <w:szCs w:val="24"/>
        </w:rPr>
        <w:t>level</w:t>
      </w:r>
      <w:proofErr w:type="gramEnd"/>
    </w:p>
    <w:p w14:paraId="26090FC5" w14:textId="77777777" w:rsidR="00382D0C" w:rsidRPr="00705209" w:rsidRDefault="00382D0C" w:rsidP="00382D0C">
      <w:pPr>
        <w:pStyle w:val="ListParagraph"/>
        <w:numPr>
          <w:ilvl w:val="0"/>
          <w:numId w:val="4"/>
        </w:numPr>
        <w:jc w:val="both"/>
        <w:rPr>
          <w:rFonts w:cstheme="minorHAnsi"/>
          <w:sz w:val="24"/>
          <w:szCs w:val="24"/>
        </w:rPr>
      </w:pPr>
      <w:r w:rsidRPr="00705209">
        <w:rPr>
          <w:rFonts w:cstheme="minorHAnsi"/>
          <w:sz w:val="24"/>
          <w:szCs w:val="24"/>
        </w:rPr>
        <w:t xml:space="preserve">Developing and publishing a separate whole-school curriculum plan that documents our teaching and learning </w:t>
      </w:r>
      <w:proofErr w:type="gramStart"/>
      <w:r w:rsidRPr="00705209">
        <w:rPr>
          <w:rFonts w:cstheme="minorHAnsi"/>
          <w:sz w:val="24"/>
          <w:szCs w:val="24"/>
        </w:rPr>
        <w:t>program</w:t>
      </w:r>
      <w:proofErr w:type="gramEnd"/>
    </w:p>
    <w:p w14:paraId="44AECB5D" w14:textId="77777777" w:rsidR="00382D0C" w:rsidRPr="00705209" w:rsidRDefault="00382D0C" w:rsidP="00382D0C">
      <w:pPr>
        <w:pStyle w:val="ListParagraph"/>
        <w:numPr>
          <w:ilvl w:val="0"/>
          <w:numId w:val="4"/>
        </w:numPr>
        <w:jc w:val="both"/>
        <w:rPr>
          <w:rFonts w:cstheme="minorHAnsi"/>
          <w:sz w:val="24"/>
          <w:szCs w:val="24"/>
        </w:rPr>
      </w:pPr>
      <w:r w:rsidRPr="00705209">
        <w:rPr>
          <w:rFonts w:cstheme="minorHAnsi"/>
          <w:sz w:val="24"/>
          <w:szCs w:val="24"/>
        </w:rPr>
        <w:t>Reporting student learning against the achievement standards in the curriculum</w:t>
      </w:r>
    </w:p>
    <w:p w14:paraId="00BC7D9D" w14:textId="77777777" w:rsidR="00382D0C" w:rsidRPr="00705209" w:rsidRDefault="00382D0C" w:rsidP="00382D0C">
      <w:pPr>
        <w:pStyle w:val="ListParagraph"/>
        <w:numPr>
          <w:ilvl w:val="0"/>
          <w:numId w:val="4"/>
        </w:numPr>
        <w:jc w:val="both"/>
        <w:rPr>
          <w:rFonts w:cstheme="minorHAnsi"/>
          <w:sz w:val="24"/>
          <w:szCs w:val="24"/>
        </w:rPr>
      </w:pPr>
      <w:r w:rsidRPr="00705209">
        <w:rPr>
          <w:rFonts w:cstheme="minorHAnsi"/>
          <w:sz w:val="24"/>
          <w:szCs w:val="24"/>
        </w:rPr>
        <w:t xml:space="preserve">Reporting student learning to students and parents in line with the Department’s </w:t>
      </w:r>
      <w:hyperlink r:id="rId10" w:history="1">
        <w:r w:rsidRPr="00705209">
          <w:rPr>
            <w:rStyle w:val="Hyperlink"/>
            <w:rFonts w:cstheme="minorHAnsi"/>
            <w:sz w:val="24"/>
            <w:szCs w:val="24"/>
          </w:rPr>
          <w:t>Reporting Student Achievement and Progress Foundation to 10</w:t>
        </w:r>
      </w:hyperlink>
      <w:r w:rsidRPr="00705209">
        <w:rPr>
          <w:rFonts w:cstheme="minorHAnsi"/>
          <w:sz w:val="24"/>
          <w:szCs w:val="24"/>
        </w:rPr>
        <w:t xml:space="preserve"> policy.</w:t>
      </w:r>
    </w:p>
    <w:p w14:paraId="5A2BA6CE" w14:textId="77777777" w:rsidR="00382D0C" w:rsidRPr="00705209" w:rsidRDefault="00382D0C" w:rsidP="00382D0C">
      <w:pPr>
        <w:pStyle w:val="ListParagraph"/>
        <w:numPr>
          <w:ilvl w:val="0"/>
          <w:numId w:val="4"/>
        </w:numPr>
        <w:rPr>
          <w:rFonts w:cstheme="minorHAnsi"/>
          <w:sz w:val="24"/>
          <w:szCs w:val="24"/>
        </w:rPr>
      </w:pPr>
      <w:r w:rsidRPr="00705209">
        <w:rPr>
          <w:rFonts w:cstheme="minorHAnsi"/>
          <w:sz w:val="24"/>
          <w:szCs w:val="24"/>
        </w:rPr>
        <w:t>Complying with Departmental policies relating to curriculum provision, including:</w:t>
      </w:r>
    </w:p>
    <w:p w14:paraId="57AB2492" w14:textId="77777777" w:rsidR="00382D0C" w:rsidRPr="00705209" w:rsidRDefault="00702301" w:rsidP="00382D0C">
      <w:pPr>
        <w:pStyle w:val="ListParagraph"/>
        <w:numPr>
          <w:ilvl w:val="1"/>
          <w:numId w:val="5"/>
        </w:numPr>
        <w:rPr>
          <w:rStyle w:val="Hyperlink"/>
          <w:rFonts w:cstheme="minorHAnsi"/>
          <w:sz w:val="24"/>
          <w:szCs w:val="24"/>
        </w:rPr>
      </w:pPr>
      <w:hyperlink r:id="rId11" w:history="1">
        <w:r w:rsidR="00382D0C" w:rsidRPr="00705209">
          <w:rPr>
            <w:rStyle w:val="Hyperlink"/>
            <w:rFonts w:cstheme="minorHAnsi"/>
            <w:sz w:val="24"/>
            <w:szCs w:val="24"/>
          </w:rPr>
          <w:t>Physical and Sport Education — Delivery Outcomes</w:t>
        </w:r>
      </w:hyperlink>
    </w:p>
    <w:p w14:paraId="165C8DED" w14:textId="7ACC42D3" w:rsidR="006017E9" w:rsidRDefault="00702301" w:rsidP="006017E9">
      <w:pPr>
        <w:pStyle w:val="ListParagraph"/>
        <w:numPr>
          <w:ilvl w:val="1"/>
          <w:numId w:val="5"/>
        </w:numPr>
        <w:rPr>
          <w:rStyle w:val="Hyperlink"/>
          <w:rFonts w:cstheme="minorHAnsi"/>
          <w:sz w:val="24"/>
          <w:szCs w:val="24"/>
        </w:rPr>
      </w:pPr>
      <w:hyperlink r:id="rId12" w:history="1">
        <w:r w:rsidR="00382D0C" w:rsidRPr="00705209">
          <w:rPr>
            <w:rStyle w:val="Hyperlink"/>
            <w:rFonts w:cstheme="minorHAnsi"/>
            <w:sz w:val="24"/>
            <w:szCs w:val="24"/>
          </w:rPr>
          <w:t>Sexuality and Consent Education</w:t>
        </w:r>
      </w:hyperlink>
    </w:p>
    <w:p w14:paraId="092CA346" w14:textId="77777777" w:rsidR="006017E9" w:rsidRDefault="006017E9">
      <w:pPr>
        <w:rPr>
          <w:rStyle w:val="Hyperlink"/>
          <w:rFonts w:cstheme="minorHAnsi"/>
          <w:sz w:val="24"/>
          <w:szCs w:val="24"/>
          <w:lang w:val="en-AU"/>
        </w:rPr>
      </w:pPr>
      <w:r>
        <w:rPr>
          <w:rStyle w:val="Hyperlink"/>
          <w:rFonts w:cstheme="minorHAnsi"/>
          <w:sz w:val="24"/>
          <w:szCs w:val="24"/>
        </w:rPr>
        <w:br w:type="page"/>
      </w:r>
    </w:p>
    <w:p w14:paraId="340FF831" w14:textId="02B66E3D" w:rsidR="00382D0C" w:rsidRPr="0018149B" w:rsidRDefault="00705209" w:rsidP="006017E9">
      <w:pPr>
        <w:spacing w:after="120"/>
        <w:jc w:val="both"/>
        <w:rPr>
          <w:rFonts w:cstheme="minorHAnsi"/>
          <w:sz w:val="24"/>
          <w:szCs w:val="24"/>
        </w:rPr>
      </w:pPr>
      <w:r w:rsidRPr="00705209">
        <w:rPr>
          <w:rFonts w:cstheme="minorHAnsi"/>
          <w:sz w:val="24"/>
          <w:szCs w:val="24"/>
        </w:rPr>
        <w:lastRenderedPageBreak/>
        <w:t xml:space="preserve">Devon Meadows Primary School </w:t>
      </w:r>
      <w:r w:rsidR="00382D0C" w:rsidRPr="00705209">
        <w:rPr>
          <w:rFonts w:cstheme="minorHAnsi"/>
          <w:sz w:val="24"/>
          <w:szCs w:val="24"/>
        </w:rPr>
        <w:t xml:space="preserve">is committed to lifelong learning by providing an inclusive, </w:t>
      </w:r>
      <w:proofErr w:type="gramStart"/>
      <w:r w:rsidR="00382D0C" w:rsidRPr="00705209">
        <w:rPr>
          <w:rFonts w:cstheme="minorHAnsi"/>
          <w:sz w:val="24"/>
          <w:szCs w:val="24"/>
        </w:rPr>
        <w:t>supportive</w:t>
      </w:r>
      <w:proofErr w:type="gramEnd"/>
      <w:r w:rsidR="00382D0C" w:rsidRPr="00705209">
        <w:rPr>
          <w:rFonts w:cstheme="minorHAnsi"/>
          <w:sz w:val="24"/>
          <w:szCs w:val="24"/>
        </w:rPr>
        <w:t xml:space="preserve"> and nurturing community in which diversity is valued and celebrated. Our innovative curriculum and culture of excellence creates a stimulating learning environment that engages and challenges students to achieve personal success and make positive contributions to society. Our school encourages students to strive for excellence in </w:t>
      </w:r>
      <w:proofErr w:type="gramStart"/>
      <w:r w:rsidR="00382D0C" w:rsidRPr="00705209">
        <w:rPr>
          <w:rFonts w:cstheme="minorHAnsi"/>
          <w:sz w:val="24"/>
          <w:szCs w:val="24"/>
        </w:rPr>
        <w:t>all of</w:t>
      </w:r>
      <w:proofErr w:type="gramEnd"/>
      <w:r w:rsidR="00382D0C" w:rsidRPr="00705209">
        <w:rPr>
          <w:rFonts w:cstheme="minorHAnsi"/>
          <w:sz w:val="24"/>
          <w:szCs w:val="24"/>
        </w:rPr>
        <w:t xml:space="preserve"> their endeavours.  At </w:t>
      </w:r>
      <w:r w:rsidRPr="00D44694">
        <w:rPr>
          <w:rFonts w:cstheme="minorHAnsi"/>
        </w:rPr>
        <w:t>Devon Meadows Primary School</w:t>
      </w:r>
      <w:r>
        <w:rPr>
          <w:rFonts w:cstheme="minorHAnsi"/>
        </w:rPr>
        <w:t xml:space="preserve"> </w:t>
      </w:r>
      <w:r w:rsidR="00382D0C" w:rsidRPr="00705209">
        <w:rPr>
          <w:rFonts w:cstheme="minorHAnsi"/>
          <w:sz w:val="24"/>
          <w:szCs w:val="24"/>
        </w:rPr>
        <w:t xml:space="preserve">our 21st century curriculum presents students with the opportunity to develop deep understandings on a range of concepts throughout their school lives. Our broad curriculum is planned and taught sequentially and allows students to have some ownership in all aspects of their learning. It is designed to develop thinking and social skills, foster engagement with the wider community and include use of a wide variety of technology to assist in student learning. To support the delivery of the curriculum at our school we access and select a wide range of suitable educational resources, set homework that enhances classroom learning and undertake a range of student assessment and </w:t>
      </w:r>
      <w:r w:rsidR="00382D0C" w:rsidRPr="0018149B">
        <w:rPr>
          <w:rFonts w:cstheme="minorHAnsi"/>
          <w:sz w:val="24"/>
          <w:szCs w:val="24"/>
        </w:rPr>
        <w:t>reporting activities.</w:t>
      </w:r>
    </w:p>
    <w:p w14:paraId="63B12E4A" w14:textId="77777777" w:rsidR="00382D0C" w:rsidRPr="0018149B" w:rsidRDefault="00382D0C" w:rsidP="006017E9">
      <w:pPr>
        <w:spacing w:after="60"/>
        <w:jc w:val="both"/>
        <w:outlineLvl w:val="1"/>
        <w:rPr>
          <w:rFonts w:eastAsiaTheme="majorEastAsia" w:cstheme="minorHAnsi"/>
          <w:b/>
          <w:caps/>
          <w:sz w:val="24"/>
          <w:szCs w:val="24"/>
        </w:rPr>
      </w:pPr>
      <w:r w:rsidRPr="0018149B">
        <w:rPr>
          <w:rFonts w:eastAsiaTheme="majorEastAsia" w:cstheme="minorHAnsi"/>
          <w:b/>
          <w:caps/>
          <w:sz w:val="24"/>
          <w:szCs w:val="24"/>
        </w:rPr>
        <w:t>Implementation</w:t>
      </w:r>
    </w:p>
    <w:p w14:paraId="7B3C06E3" w14:textId="39EB56B2" w:rsidR="007B0EBE" w:rsidRDefault="0034518C" w:rsidP="006017E9">
      <w:pPr>
        <w:spacing w:after="120"/>
        <w:jc w:val="both"/>
        <w:rPr>
          <w:rFonts w:eastAsia="Times New Roman" w:cstheme="minorHAnsi"/>
          <w:color w:val="000000"/>
          <w:sz w:val="24"/>
          <w:szCs w:val="24"/>
          <w:lang w:eastAsia="en-AU"/>
        </w:rPr>
      </w:pPr>
      <w:r w:rsidRPr="0018149B">
        <w:rPr>
          <w:rFonts w:eastAsia="Times New Roman" w:cstheme="minorHAnsi"/>
          <w:sz w:val="24"/>
          <w:szCs w:val="24"/>
          <w:lang w:eastAsia="en-AU"/>
        </w:rPr>
        <w:t xml:space="preserve">The Devon Meadows Primary School Curriculum leaders will ensure a comprehensive curriculum program is </w:t>
      </w:r>
      <w:proofErr w:type="gramStart"/>
      <w:r w:rsidRPr="0018149B">
        <w:rPr>
          <w:rFonts w:eastAsia="Times New Roman" w:cstheme="minorHAnsi"/>
          <w:sz w:val="24"/>
          <w:szCs w:val="24"/>
          <w:lang w:eastAsia="en-AU"/>
        </w:rPr>
        <w:t>provided that</w:t>
      </w:r>
      <w:proofErr w:type="gramEnd"/>
      <w:r w:rsidRPr="0018149B">
        <w:rPr>
          <w:rFonts w:eastAsia="Times New Roman" w:cstheme="minorHAnsi"/>
          <w:sz w:val="24"/>
          <w:szCs w:val="24"/>
          <w:lang w:eastAsia="en-AU"/>
        </w:rPr>
        <w:t xml:space="preserve"> meets the requirements of DET.</w:t>
      </w:r>
      <w:r w:rsidRPr="0018149B">
        <w:rPr>
          <w:rFonts w:cstheme="minorHAnsi"/>
          <w:sz w:val="24"/>
          <w:szCs w:val="24"/>
        </w:rPr>
        <w:t xml:space="preserve"> </w:t>
      </w:r>
      <w:r w:rsidR="00382D0C" w:rsidRPr="0018149B">
        <w:rPr>
          <w:rFonts w:cstheme="minorHAnsi"/>
          <w:sz w:val="24"/>
          <w:szCs w:val="24"/>
        </w:rPr>
        <w:t xml:space="preserve">At </w:t>
      </w:r>
      <w:r w:rsidR="00DC4D23" w:rsidRPr="0018149B">
        <w:rPr>
          <w:rFonts w:cstheme="minorHAnsi"/>
        </w:rPr>
        <w:t>Devon Meadows Primary School</w:t>
      </w:r>
      <w:r w:rsidR="00382D0C" w:rsidRPr="0018149B">
        <w:rPr>
          <w:rFonts w:cstheme="minorHAnsi"/>
          <w:sz w:val="24"/>
          <w:szCs w:val="24"/>
        </w:rPr>
        <w:t>, class time is structured into a weekly timetable</w:t>
      </w:r>
      <w:r w:rsidR="00382D0C" w:rsidRPr="00705209">
        <w:rPr>
          <w:rFonts w:cstheme="minorHAnsi"/>
          <w:sz w:val="24"/>
          <w:szCs w:val="24"/>
        </w:rPr>
        <w:t xml:space="preserve">, with </w:t>
      </w:r>
      <w:r w:rsidR="00FE6E63">
        <w:rPr>
          <w:rFonts w:cstheme="minorHAnsi"/>
          <w:sz w:val="24"/>
          <w:szCs w:val="24"/>
        </w:rPr>
        <w:t>5</w:t>
      </w:r>
      <w:r w:rsidR="00382D0C" w:rsidRPr="00705209">
        <w:rPr>
          <w:rFonts w:cstheme="minorHAnsi"/>
          <w:sz w:val="24"/>
          <w:szCs w:val="24"/>
        </w:rPr>
        <w:t xml:space="preserve"> hours of learning per day, broken into </w:t>
      </w:r>
      <w:r w:rsidR="00FE6E63" w:rsidRPr="00FE6E63">
        <w:rPr>
          <w:rFonts w:cstheme="minorHAnsi"/>
          <w:sz w:val="24"/>
          <w:szCs w:val="24"/>
        </w:rPr>
        <w:t>60</w:t>
      </w:r>
      <w:r w:rsidR="00382D0C" w:rsidRPr="00FE6E63">
        <w:rPr>
          <w:rFonts w:cstheme="minorHAnsi"/>
          <w:sz w:val="24"/>
          <w:szCs w:val="24"/>
        </w:rPr>
        <w:t>-</w:t>
      </w:r>
      <w:r w:rsidR="00382D0C" w:rsidRPr="00705209">
        <w:rPr>
          <w:rFonts w:cstheme="minorHAnsi"/>
          <w:sz w:val="24"/>
          <w:szCs w:val="24"/>
        </w:rPr>
        <w:t xml:space="preserve">minute sessions. </w:t>
      </w:r>
      <w:r w:rsidR="007B0EBE" w:rsidRPr="008479FD">
        <w:rPr>
          <w:rFonts w:eastAsia="Times New Roman" w:cstheme="minorHAnsi"/>
          <w:color w:val="000000"/>
          <w:sz w:val="24"/>
          <w:szCs w:val="24"/>
          <w:lang w:eastAsia="en-AU"/>
        </w:rPr>
        <w:t>The breakdown of the weekly cycle is as follows:</w:t>
      </w:r>
      <w:r w:rsidR="006017E9">
        <w:rPr>
          <w:rFonts w:eastAsia="Times New Roman" w:cstheme="minorHAnsi"/>
          <w:color w:val="000000"/>
          <w:sz w:val="24"/>
          <w:szCs w:val="24"/>
          <w:lang w:eastAsia="en-AU"/>
        </w:rPr>
        <w:t xml:space="preserve"> </w:t>
      </w:r>
    </w:p>
    <w:tbl>
      <w:tblPr>
        <w:tblStyle w:val="TableGrid"/>
        <w:tblW w:w="0" w:type="auto"/>
        <w:tblInd w:w="160" w:type="dxa"/>
        <w:tblLook w:val="04A0" w:firstRow="1" w:lastRow="0" w:firstColumn="1" w:lastColumn="0" w:noHBand="0" w:noVBand="1"/>
      </w:tblPr>
      <w:tblGrid>
        <w:gridCol w:w="1958"/>
        <w:gridCol w:w="1865"/>
        <w:gridCol w:w="1881"/>
        <w:gridCol w:w="1882"/>
        <w:gridCol w:w="1882"/>
      </w:tblGrid>
      <w:tr w:rsidR="007B0EBE" w14:paraId="30A7A7A5" w14:textId="77777777" w:rsidTr="007B0EBE">
        <w:trPr>
          <w:trHeight w:val="454"/>
        </w:trPr>
        <w:tc>
          <w:tcPr>
            <w:tcW w:w="1958" w:type="dxa"/>
            <w:vAlign w:val="center"/>
          </w:tcPr>
          <w:p w14:paraId="2E34FA39" w14:textId="77777777" w:rsidR="007B0EBE" w:rsidRDefault="007B0EBE" w:rsidP="0051539C">
            <w:pPr>
              <w:ind w:right="150"/>
              <w:jc w:val="center"/>
              <w:rPr>
                <w:rFonts w:eastAsia="Times New Roman" w:cstheme="minorHAnsi"/>
                <w:sz w:val="24"/>
                <w:szCs w:val="24"/>
                <w:lang w:eastAsia="en-AU"/>
              </w:rPr>
            </w:pPr>
          </w:p>
        </w:tc>
        <w:tc>
          <w:tcPr>
            <w:tcW w:w="1865" w:type="dxa"/>
            <w:vAlign w:val="center"/>
          </w:tcPr>
          <w:p w14:paraId="41701D4C"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Prep</w:t>
            </w:r>
          </w:p>
        </w:tc>
        <w:tc>
          <w:tcPr>
            <w:tcW w:w="1881" w:type="dxa"/>
            <w:vAlign w:val="center"/>
          </w:tcPr>
          <w:p w14:paraId="0520B61E"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Grade 1/2</w:t>
            </w:r>
          </w:p>
        </w:tc>
        <w:tc>
          <w:tcPr>
            <w:tcW w:w="1882" w:type="dxa"/>
            <w:vAlign w:val="center"/>
          </w:tcPr>
          <w:p w14:paraId="52F757A4"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Grade 3/4</w:t>
            </w:r>
          </w:p>
        </w:tc>
        <w:tc>
          <w:tcPr>
            <w:tcW w:w="1882" w:type="dxa"/>
            <w:vAlign w:val="center"/>
          </w:tcPr>
          <w:p w14:paraId="75EA1800"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Grade 5/6</w:t>
            </w:r>
          </w:p>
        </w:tc>
      </w:tr>
      <w:tr w:rsidR="007B0EBE" w14:paraId="24C4E901" w14:textId="77777777" w:rsidTr="007B0EBE">
        <w:trPr>
          <w:trHeight w:val="454"/>
        </w:trPr>
        <w:tc>
          <w:tcPr>
            <w:tcW w:w="1958" w:type="dxa"/>
            <w:vAlign w:val="center"/>
          </w:tcPr>
          <w:p w14:paraId="2AD7314C"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English</w:t>
            </w:r>
          </w:p>
        </w:tc>
        <w:tc>
          <w:tcPr>
            <w:tcW w:w="1865" w:type="dxa"/>
            <w:vAlign w:val="center"/>
          </w:tcPr>
          <w:p w14:paraId="1C8AE79C" w14:textId="6055EF19"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r w:rsidR="006561B7" w:rsidRPr="006561B7">
              <w:rPr>
                <w:rFonts w:eastAsia="Times New Roman" w:cstheme="minorHAnsi"/>
                <w:sz w:val="24"/>
                <w:szCs w:val="24"/>
                <w:lang w:eastAsia="en-AU"/>
              </w:rPr>
              <w:t>0.75</w:t>
            </w:r>
          </w:p>
        </w:tc>
        <w:tc>
          <w:tcPr>
            <w:tcW w:w="1881" w:type="dxa"/>
            <w:vAlign w:val="center"/>
          </w:tcPr>
          <w:p w14:paraId="17E40B97" w14:textId="77777777"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10</w:t>
            </w:r>
          </w:p>
        </w:tc>
        <w:tc>
          <w:tcPr>
            <w:tcW w:w="1882" w:type="dxa"/>
            <w:vAlign w:val="center"/>
          </w:tcPr>
          <w:p w14:paraId="229D5103" w14:textId="6889FAB9"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10</w:t>
            </w:r>
            <w:r w:rsidR="006561B7" w:rsidRPr="006561B7">
              <w:rPr>
                <w:rFonts w:eastAsia="Times New Roman" w:cstheme="minorHAnsi"/>
                <w:sz w:val="24"/>
                <w:szCs w:val="24"/>
                <w:lang w:eastAsia="en-AU"/>
              </w:rPr>
              <w:t>.5</w:t>
            </w:r>
          </w:p>
        </w:tc>
        <w:tc>
          <w:tcPr>
            <w:tcW w:w="1882" w:type="dxa"/>
            <w:vAlign w:val="center"/>
          </w:tcPr>
          <w:p w14:paraId="08399990" w14:textId="0A1D8B7D"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1</w:t>
            </w:r>
            <w:r w:rsidR="00A94E1C" w:rsidRPr="00A94E1C">
              <w:rPr>
                <w:rFonts w:eastAsia="Times New Roman" w:cstheme="minorHAnsi"/>
                <w:sz w:val="24"/>
                <w:szCs w:val="24"/>
                <w:lang w:eastAsia="en-AU"/>
              </w:rPr>
              <w:t>1</w:t>
            </w:r>
          </w:p>
        </w:tc>
      </w:tr>
      <w:tr w:rsidR="007B0EBE" w14:paraId="2FDF7B0B" w14:textId="77777777" w:rsidTr="007B0EBE">
        <w:trPr>
          <w:trHeight w:val="454"/>
        </w:trPr>
        <w:tc>
          <w:tcPr>
            <w:tcW w:w="1958" w:type="dxa"/>
            <w:vAlign w:val="center"/>
          </w:tcPr>
          <w:p w14:paraId="312B8DFA"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Mathematics</w:t>
            </w:r>
          </w:p>
        </w:tc>
        <w:tc>
          <w:tcPr>
            <w:tcW w:w="1865" w:type="dxa"/>
            <w:vAlign w:val="center"/>
          </w:tcPr>
          <w:p w14:paraId="6EF275A7"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5</w:t>
            </w:r>
          </w:p>
        </w:tc>
        <w:tc>
          <w:tcPr>
            <w:tcW w:w="1881" w:type="dxa"/>
            <w:vAlign w:val="center"/>
          </w:tcPr>
          <w:p w14:paraId="66986C98" w14:textId="77777777"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5</w:t>
            </w:r>
          </w:p>
        </w:tc>
        <w:tc>
          <w:tcPr>
            <w:tcW w:w="1882" w:type="dxa"/>
            <w:vAlign w:val="center"/>
          </w:tcPr>
          <w:p w14:paraId="008AF6D6"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5</w:t>
            </w:r>
          </w:p>
        </w:tc>
        <w:tc>
          <w:tcPr>
            <w:tcW w:w="1882" w:type="dxa"/>
            <w:vAlign w:val="center"/>
          </w:tcPr>
          <w:p w14:paraId="6E2C2DA1" w14:textId="77777777"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5</w:t>
            </w:r>
          </w:p>
        </w:tc>
      </w:tr>
      <w:tr w:rsidR="007B0EBE" w14:paraId="1C240993" w14:textId="77777777" w:rsidTr="007B0EBE">
        <w:trPr>
          <w:trHeight w:val="454"/>
        </w:trPr>
        <w:tc>
          <w:tcPr>
            <w:tcW w:w="1958" w:type="dxa"/>
            <w:vAlign w:val="center"/>
          </w:tcPr>
          <w:p w14:paraId="2B801643" w14:textId="2AB2293C" w:rsidR="007B0EBE" w:rsidRPr="00AF4FB8" w:rsidRDefault="00E23B1B" w:rsidP="0051539C">
            <w:pPr>
              <w:ind w:right="150"/>
              <w:jc w:val="center"/>
              <w:rPr>
                <w:rFonts w:eastAsia="Times New Roman" w:cstheme="minorHAnsi"/>
                <w:b/>
                <w:sz w:val="24"/>
                <w:szCs w:val="24"/>
                <w:lang w:eastAsia="en-AU"/>
              </w:rPr>
            </w:pPr>
            <w:r>
              <w:rPr>
                <w:rFonts w:eastAsia="Times New Roman" w:cstheme="minorHAnsi"/>
                <w:b/>
                <w:sz w:val="24"/>
                <w:szCs w:val="24"/>
                <w:lang w:eastAsia="en-AU"/>
              </w:rPr>
              <w:t>Inquiry</w:t>
            </w:r>
          </w:p>
        </w:tc>
        <w:tc>
          <w:tcPr>
            <w:tcW w:w="1865" w:type="dxa"/>
            <w:vAlign w:val="center"/>
          </w:tcPr>
          <w:p w14:paraId="6BE2C3D5" w14:textId="7B0ED94E"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p>
        </w:tc>
        <w:tc>
          <w:tcPr>
            <w:tcW w:w="1881" w:type="dxa"/>
            <w:vAlign w:val="center"/>
          </w:tcPr>
          <w:p w14:paraId="757FA4C2" w14:textId="755D2B1E" w:rsidR="007B0EBE" w:rsidRDefault="00E23B1B" w:rsidP="0051539C">
            <w:pPr>
              <w:ind w:right="150"/>
              <w:jc w:val="center"/>
              <w:rPr>
                <w:rFonts w:eastAsia="Times New Roman" w:cstheme="minorHAnsi"/>
                <w:sz w:val="24"/>
                <w:szCs w:val="24"/>
                <w:lang w:eastAsia="en-AU"/>
              </w:rPr>
            </w:pPr>
            <w:r>
              <w:rPr>
                <w:rFonts w:eastAsia="Times New Roman" w:cstheme="minorHAnsi"/>
                <w:sz w:val="24"/>
                <w:szCs w:val="24"/>
                <w:lang w:eastAsia="en-AU"/>
              </w:rPr>
              <w:t>2</w:t>
            </w:r>
          </w:p>
        </w:tc>
        <w:tc>
          <w:tcPr>
            <w:tcW w:w="1882" w:type="dxa"/>
            <w:vAlign w:val="center"/>
          </w:tcPr>
          <w:p w14:paraId="3CE09359" w14:textId="7A62228A" w:rsidR="007B0EBE" w:rsidRPr="006561B7" w:rsidRDefault="006561B7"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p>
        </w:tc>
        <w:tc>
          <w:tcPr>
            <w:tcW w:w="1882" w:type="dxa"/>
            <w:vAlign w:val="center"/>
          </w:tcPr>
          <w:p w14:paraId="0E819454" w14:textId="17629C42" w:rsidR="007B0EBE" w:rsidRPr="00A94E1C" w:rsidRDefault="00A94E1C"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2</w:t>
            </w:r>
          </w:p>
        </w:tc>
      </w:tr>
      <w:tr w:rsidR="007B0EBE" w14:paraId="05E47CF1" w14:textId="77777777" w:rsidTr="007B0EBE">
        <w:trPr>
          <w:trHeight w:val="454"/>
        </w:trPr>
        <w:tc>
          <w:tcPr>
            <w:tcW w:w="1958" w:type="dxa"/>
            <w:vAlign w:val="center"/>
          </w:tcPr>
          <w:p w14:paraId="2D900294" w14:textId="77777777" w:rsidR="007B0EBE" w:rsidRPr="00AF4FB8" w:rsidRDefault="007B0EBE" w:rsidP="0051539C">
            <w:pPr>
              <w:ind w:right="150"/>
              <w:jc w:val="center"/>
              <w:rPr>
                <w:rFonts w:eastAsia="Times New Roman" w:cstheme="minorHAnsi"/>
                <w:b/>
                <w:sz w:val="24"/>
                <w:szCs w:val="24"/>
                <w:lang w:eastAsia="en-AU"/>
              </w:rPr>
            </w:pPr>
            <w:r w:rsidRPr="00AF4FB8">
              <w:rPr>
                <w:rFonts w:eastAsia="Times New Roman" w:cstheme="minorHAnsi"/>
                <w:b/>
                <w:sz w:val="24"/>
                <w:szCs w:val="24"/>
                <w:lang w:eastAsia="en-AU"/>
              </w:rPr>
              <w:t>Health/PE</w:t>
            </w:r>
          </w:p>
        </w:tc>
        <w:tc>
          <w:tcPr>
            <w:tcW w:w="1865" w:type="dxa"/>
            <w:vAlign w:val="center"/>
          </w:tcPr>
          <w:p w14:paraId="08BFA7C2" w14:textId="188CD717" w:rsidR="007B0EBE" w:rsidRPr="006561B7" w:rsidRDefault="006561B7"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p>
        </w:tc>
        <w:tc>
          <w:tcPr>
            <w:tcW w:w="1881" w:type="dxa"/>
            <w:vAlign w:val="center"/>
          </w:tcPr>
          <w:p w14:paraId="3B937599" w14:textId="63D2F90F" w:rsidR="007B0EBE" w:rsidRDefault="00E23B1B" w:rsidP="0051539C">
            <w:pPr>
              <w:ind w:right="150"/>
              <w:jc w:val="center"/>
              <w:rPr>
                <w:rFonts w:eastAsia="Times New Roman" w:cstheme="minorHAnsi"/>
                <w:sz w:val="24"/>
                <w:szCs w:val="24"/>
                <w:lang w:eastAsia="en-AU"/>
              </w:rPr>
            </w:pPr>
            <w:r>
              <w:rPr>
                <w:rFonts w:eastAsia="Times New Roman" w:cstheme="minorHAnsi"/>
                <w:sz w:val="24"/>
                <w:szCs w:val="24"/>
                <w:lang w:eastAsia="en-AU"/>
              </w:rPr>
              <w:t>2.75</w:t>
            </w:r>
          </w:p>
        </w:tc>
        <w:tc>
          <w:tcPr>
            <w:tcW w:w="1882" w:type="dxa"/>
            <w:vAlign w:val="center"/>
          </w:tcPr>
          <w:p w14:paraId="23134A4C" w14:textId="1696E84D"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r w:rsidR="006561B7" w:rsidRPr="006561B7">
              <w:rPr>
                <w:rFonts w:eastAsia="Times New Roman" w:cstheme="minorHAnsi"/>
                <w:sz w:val="24"/>
                <w:szCs w:val="24"/>
                <w:lang w:eastAsia="en-AU"/>
              </w:rPr>
              <w:t>.75</w:t>
            </w:r>
          </w:p>
        </w:tc>
        <w:tc>
          <w:tcPr>
            <w:tcW w:w="1882" w:type="dxa"/>
            <w:vAlign w:val="center"/>
          </w:tcPr>
          <w:p w14:paraId="361605AD" w14:textId="64B48ADC"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2</w:t>
            </w:r>
          </w:p>
        </w:tc>
      </w:tr>
      <w:tr w:rsidR="007B0EBE" w14:paraId="64E4E15D" w14:textId="77777777" w:rsidTr="007B0EBE">
        <w:trPr>
          <w:trHeight w:val="454"/>
        </w:trPr>
        <w:tc>
          <w:tcPr>
            <w:tcW w:w="1958" w:type="dxa"/>
            <w:vAlign w:val="center"/>
          </w:tcPr>
          <w:p w14:paraId="2999DAC8" w14:textId="7E070522"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Science</w:t>
            </w:r>
          </w:p>
        </w:tc>
        <w:tc>
          <w:tcPr>
            <w:tcW w:w="1865" w:type="dxa"/>
            <w:vAlign w:val="center"/>
          </w:tcPr>
          <w:p w14:paraId="0E6AEB19" w14:textId="66554C3E"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1" w:type="dxa"/>
            <w:vAlign w:val="center"/>
          </w:tcPr>
          <w:p w14:paraId="36C9D9A7" w14:textId="1923D0AA"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1</w:t>
            </w:r>
          </w:p>
        </w:tc>
        <w:tc>
          <w:tcPr>
            <w:tcW w:w="1882" w:type="dxa"/>
            <w:vAlign w:val="center"/>
          </w:tcPr>
          <w:p w14:paraId="78AF9EA7" w14:textId="18E91B90"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2" w:type="dxa"/>
            <w:vAlign w:val="center"/>
          </w:tcPr>
          <w:p w14:paraId="04665559" w14:textId="591F6553"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1</w:t>
            </w:r>
          </w:p>
        </w:tc>
      </w:tr>
      <w:tr w:rsidR="007B0EBE" w14:paraId="624A92FF" w14:textId="77777777" w:rsidTr="007B0EBE">
        <w:trPr>
          <w:trHeight w:val="454"/>
        </w:trPr>
        <w:tc>
          <w:tcPr>
            <w:tcW w:w="1958" w:type="dxa"/>
            <w:vAlign w:val="center"/>
          </w:tcPr>
          <w:p w14:paraId="3BA6A92B" w14:textId="5F4AB1EE"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 xml:space="preserve">The </w:t>
            </w:r>
            <w:r w:rsidRPr="00AF4FB8">
              <w:rPr>
                <w:rFonts w:eastAsia="Times New Roman" w:cstheme="minorHAnsi"/>
                <w:b/>
                <w:sz w:val="24"/>
                <w:szCs w:val="24"/>
                <w:lang w:eastAsia="en-AU"/>
              </w:rPr>
              <w:t>A</w:t>
            </w:r>
            <w:r>
              <w:rPr>
                <w:rFonts w:eastAsia="Times New Roman" w:cstheme="minorHAnsi"/>
                <w:b/>
                <w:sz w:val="24"/>
                <w:szCs w:val="24"/>
                <w:lang w:eastAsia="en-AU"/>
              </w:rPr>
              <w:t>r</w:t>
            </w:r>
            <w:r w:rsidRPr="00AF4FB8">
              <w:rPr>
                <w:rFonts w:eastAsia="Times New Roman" w:cstheme="minorHAnsi"/>
                <w:b/>
                <w:sz w:val="24"/>
                <w:szCs w:val="24"/>
                <w:lang w:eastAsia="en-AU"/>
              </w:rPr>
              <w:t>ts</w:t>
            </w:r>
          </w:p>
        </w:tc>
        <w:tc>
          <w:tcPr>
            <w:tcW w:w="1865" w:type="dxa"/>
            <w:vAlign w:val="center"/>
          </w:tcPr>
          <w:p w14:paraId="03B49E2E"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1" w:type="dxa"/>
            <w:vAlign w:val="center"/>
          </w:tcPr>
          <w:p w14:paraId="43251018" w14:textId="77777777"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1</w:t>
            </w:r>
          </w:p>
        </w:tc>
        <w:tc>
          <w:tcPr>
            <w:tcW w:w="1882" w:type="dxa"/>
            <w:vAlign w:val="center"/>
          </w:tcPr>
          <w:p w14:paraId="7FE74A32" w14:textId="372BEB6B"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2" w:type="dxa"/>
            <w:vAlign w:val="center"/>
          </w:tcPr>
          <w:p w14:paraId="67166C6E" w14:textId="4F8347EE"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1</w:t>
            </w:r>
          </w:p>
        </w:tc>
      </w:tr>
      <w:tr w:rsidR="007B0EBE" w14:paraId="285EE620" w14:textId="77777777" w:rsidTr="007B0EBE">
        <w:trPr>
          <w:trHeight w:val="454"/>
        </w:trPr>
        <w:tc>
          <w:tcPr>
            <w:tcW w:w="1958" w:type="dxa"/>
            <w:vAlign w:val="center"/>
          </w:tcPr>
          <w:p w14:paraId="61F63513" w14:textId="31588388"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Auslan</w:t>
            </w:r>
          </w:p>
        </w:tc>
        <w:tc>
          <w:tcPr>
            <w:tcW w:w="1865" w:type="dxa"/>
            <w:vAlign w:val="center"/>
          </w:tcPr>
          <w:p w14:paraId="3D5EFE15" w14:textId="05939201"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1" w:type="dxa"/>
            <w:vAlign w:val="center"/>
          </w:tcPr>
          <w:p w14:paraId="00463FDA" w14:textId="574638A4"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1</w:t>
            </w:r>
          </w:p>
        </w:tc>
        <w:tc>
          <w:tcPr>
            <w:tcW w:w="1882" w:type="dxa"/>
            <w:vAlign w:val="center"/>
          </w:tcPr>
          <w:p w14:paraId="220C47F8" w14:textId="7819A846"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1</w:t>
            </w:r>
          </w:p>
        </w:tc>
        <w:tc>
          <w:tcPr>
            <w:tcW w:w="1882" w:type="dxa"/>
            <w:vAlign w:val="center"/>
          </w:tcPr>
          <w:p w14:paraId="4C31AA4B" w14:textId="4759A43D"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1</w:t>
            </w:r>
          </w:p>
        </w:tc>
      </w:tr>
      <w:tr w:rsidR="007B0EBE" w14:paraId="26039638" w14:textId="77777777" w:rsidTr="007B0EBE">
        <w:trPr>
          <w:trHeight w:val="454"/>
        </w:trPr>
        <w:tc>
          <w:tcPr>
            <w:tcW w:w="1958" w:type="dxa"/>
            <w:vAlign w:val="center"/>
          </w:tcPr>
          <w:p w14:paraId="5BAF1C29" w14:textId="602625DB"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Wel</w:t>
            </w:r>
            <w:r w:rsidR="006561B7">
              <w:rPr>
                <w:rFonts w:eastAsia="Times New Roman" w:cstheme="minorHAnsi"/>
                <w:b/>
                <w:sz w:val="24"/>
                <w:szCs w:val="24"/>
                <w:lang w:eastAsia="en-AU"/>
              </w:rPr>
              <w:t>lbeing</w:t>
            </w:r>
          </w:p>
        </w:tc>
        <w:tc>
          <w:tcPr>
            <w:tcW w:w="1865" w:type="dxa"/>
            <w:vAlign w:val="center"/>
          </w:tcPr>
          <w:p w14:paraId="67D8361F" w14:textId="4E84B974" w:rsidR="007B0EBE" w:rsidRPr="006561B7" w:rsidRDefault="006561B7"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p>
        </w:tc>
        <w:tc>
          <w:tcPr>
            <w:tcW w:w="1881" w:type="dxa"/>
            <w:vAlign w:val="center"/>
          </w:tcPr>
          <w:p w14:paraId="6CA12C4F" w14:textId="4CF380E8" w:rsidR="007B0EBE" w:rsidRDefault="00E23B1B" w:rsidP="0051539C">
            <w:pPr>
              <w:ind w:right="150"/>
              <w:jc w:val="center"/>
              <w:rPr>
                <w:rFonts w:eastAsia="Times New Roman" w:cstheme="minorHAnsi"/>
                <w:sz w:val="24"/>
                <w:szCs w:val="24"/>
                <w:lang w:eastAsia="en-AU"/>
              </w:rPr>
            </w:pPr>
            <w:r>
              <w:rPr>
                <w:rFonts w:eastAsia="Times New Roman" w:cstheme="minorHAnsi"/>
                <w:sz w:val="24"/>
                <w:szCs w:val="24"/>
                <w:lang w:eastAsia="en-AU"/>
              </w:rPr>
              <w:t>2</w:t>
            </w:r>
          </w:p>
        </w:tc>
        <w:tc>
          <w:tcPr>
            <w:tcW w:w="1882" w:type="dxa"/>
            <w:vAlign w:val="center"/>
          </w:tcPr>
          <w:p w14:paraId="7E2DC5DC" w14:textId="4E252BC1" w:rsidR="007B0EBE" w:rsidRPr="006561B7" w:rsidRDefault="006561B7"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w:t>
            </w:r>
          </w:p>
        </w:tc>
        <w:tc>
          <w:tcPr>
            <w:tcW w:w="1882" w:type="dxa"/>
            <w:vAlign w:val="center"/>
          </w:tcPr>
          <w:p w14:paraId="3D0C902B" w14:textId="001349F8" w:rsidR="007B0EBE" w:rsidRPr="00A94E1C" w:rsidRDefault="00A94E1C"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1.75</w:t>
            </w:r>
          </w:p>
        </w:tc>
      </w:tr>
      <w:tr w:rsidR="007B0EBE" w14:paraId="66B1460C" w14:textId="77777777" w:rsidTr="007B0EBE">
        <w:trPr>
          <w:trHeight w:val="454"/>
        </w:trPr>
        <w:tc>
          <w:tcPr>
            <w:tcW w:w="1958" w:type="dxa"/>
            <w:vAlign w:val="center"/>
          </w:tcPr>
          <w:p w14:paraId="72A69897" w14:textId="77777777"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Assembly</w:t>
            </w:r>
          </w:p>
        </w:tc>
        <w:tc>
          <w:tcPr>
            <w:tcW w:w="1865" w:type="dxa"/>
            <w:vAlign w:val="center"/>
          </w:tcPr>
          <w:p w14:paraId="7C38C62C" w14:textId="5D20ABAC"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0.25</w:t>
            </w:r>
          </w:p>
        </w:tc>
        <w:tc>
          <w:tcPr>
            <w:tcW w:w="1881" w:type="dxa"/>
            <w:vAlign w:val="center"/>
          </w:tcPr>
          <w:p w14:paraId="291786CA" w14:textId="4966C458"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0.25</w:t>
            </w:r>
          </w:p>
        </w:tc>
        <w:tc>
          <w:tcPr>
            <w:tcW w:w="1882" w:type="dxa"/>
            <w:vAlign w:val="center"/>
          </w:tcPr>
          <w:p w14:paraId="069AB027" w14:textId="068747A1"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0.25</w:t>
            </w:r>
          </w:p>
        </w:tc>
        <w:tc>
          <w:tcPr>
            <w:tcW w:w="1882" w:type="dxa"/>
            <w:vAlign w:val="center"/>
          </w:tcPr>
          <w:p w14:paraId="7764878E" w14:textId="0ED38EEF"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0.25</w:t>
            </w:r>
          </w:p>
        </w:tc>
      </w:tr>
      <w:tr w:rsidR="007B0EBE" w14:paraId="4DF8E69F" w14:textId="77777777" w:rsidTr="007B0EBE">
        <w:trPr>
          <w:trHeight w:val="454"/>
        </w:trPr>
        <w:tc>
          <w:tcPr>
            <w:tcW w:w="1958" w:type="dxa"/>
            <w:vAlign w:val="center"/>
          </w:tcPr>
          <w:p w14:paraId="39D9371E" w14:textId="77777777"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Total</w:t>
            </w:r>
          </w:p>
        </w:tc>
        <w:tc>
          <w:tcPr>
            <w:tcW w:w="1865" w:type="dxa"/>
            <w:vAlign w:val="center"/>
          </w:tcPr>
          <w:p w14:paraId="5D243DEF"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25</w:t>
            </w:r>
          </w:p>
        </w:tc>
        <w:tc>
          <w:tcPr>
            <w:tcW w:w="1881" w:type="dxa"/>
            <w:vAlign w:val="center"/>
          </w:tcPr>
          <w:p w14:paraId="5268D0F7" w14:textId="77777777"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25</w:t>
            </w:r>
          </w:p>
        </w:tc>
        <w:tc>
          <w:tcPr>
            <w:tcW w:w="1882" w:type="dxa"/>
            <w:vAlign w:val="center"/>
          </w:tcPr>
          <w:p w14:paraId="1A257717"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25</w:t>
            </w:r>
          </w:p>
        </w:tc>
        <w:tc>
          <w:tcPr>
            <w:tcW w:w="1882" w:type="dxa"/>
            <w:vAlign w:val="center"/>
          </w:tcPr>
          <w:p w14:paraId="2A565B4A" w14:textId="77777777"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25</w:t>
            </w:r>
          </w:p>
        </w:tc>
      </w:tr>
      <w:tr w:rsidR="007B0EBE" w14:paraId="3E264776" w14:textId="77777777" w:rsidTr="007B0EBE">
        <w:trPr>
          <w:trHeight w:val="454"/>
        </w:trPr>
        <w:tc>
          <w:tcPr>
            <w:tcW w:w="1958" w:type="dxa"/>
            <w:vAlign w:val="center"/>
          </w:tcPr>
          <w:p w14:paraId="60B43934" w14:textId="77777777" w:rsidR="007B0EBE" w:rsidRPr="00AF4FB8" w:rsidRDefault="007B0EBE" w:rsidP="0051539C">
            <w:pPr>
              <w:ind w:right="150"/>
              <w:jc w:val="center"/>
              <w:rPr>
                <w:rFonts w:eastAsia="Times New Roman" w:cstheme="minorHAnsi"/>
                <w:b/>
                <w:sz w:val="24"/>
                <w:szCs w:val="24"/>
                <w:lang w:eastAsia="en-AU"/>
              </w:rPr>
            </w:pPr>
            <w:r>
              <w:rPr>
                <w:rFonts w:eastAsia="Times New Roman" w:cstheme="minorHAnsi"/>
                <w:b/>
                <w:sz w:val="24"/>
                <w:szCs w:val="24"/>
                <w:lang w:eastAsia="en-AU"/>
              </w:rPr>
              <w:t>Swimming</w:t>
            </w:r>
          </w:p>
        </w:tc>
        <w:tc>
          <w:tcPr>
            <w:tcW w:w="1865" w:type="dxa"/>
            <w:vAlign w:val="center"/>
          </w:tcPr>
          <w:p w14:paraId="7D0358C1"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4</w:t>
            </w:r>
          </w:p>
        </w:tc>
        <w:tc>
          <w:tcPr>
            <w:tcW w:w="1881" w:type="dxa"/>
            <w:vAlign w:val="center"/>
          </w:tcPr>
          <w:p w14:paraId="0470CE4A" w14:textId="77777777" w:rsidR="007B0EBE" w:rsidRDefault="007B0EBE" w:rsidP="0051539C">
            <w:pPr>
              <w:ind w:right="150"/>
              <w:jc w:val="center"/>
              <w:rPr>
                <w:rFonts w:eastAsia="Times New Roman" w:cstheme="minorHAnsi"/>
                <w:sz w:val="24"/>
                <w:szCs w:val="24"/>
                <w:lang w:eastAsia="en-AU"/>
              </w:rPr>
            </w:pPr>
            <w:r>
              <w:rPr>
                <w:rFonts w:eastAsia="Times New Roman" w:cstheme="minorHAnsi"/>
                <w:sz w:val="24"/>
                <w:szCs w:val="24"/>
                <w:lang w:eastAsia="en-AU"/>
              </w:rPr>
              <w:t>4</w:t>
            </w:r>
          </w:p>
        </w:tc>
        <w:tc>
          <w:tcPr>
            <w:tcW w:w="1882" w:type="dxa"/>
            <w:vAlign w:val="center"/>
          </w:tcPr>
          <w:p w14:paraId="76A6AF31" w14:textId="77777777" w:rsidR="007B0EBE" w:rsidRPr="006561B7" w:rsidRDefault="007B0EBE" w:rsidP="0051539C">
            <w:pPr>
              <w:ind w:right="150"/>
              <w:jc w:val="center"/>
              <w:rPr>
                <w:rFonts w:eastAsia="Times New Roman" w:cstheme="minorHAnsi"/>
                <w:sz w:val="24"/>
                <w:szCs w:val="24"/>
                <w:lang w:eastAsia="en-AU"/>
              </w:rPr>
            </w:pPr>
            <w:r w:rsidRPr="006561B7">
              <w:rPr>
                <w:rFonts w:eastAsia="Times New Roman" w:cstheme="minorHAnsi"/>
                <w:sz w:val="24"/>
                <w:szCs w:val="24"/>
                <w:lang w:eastAsia="en-AU"/>
              </w:rPr>
              <w:t>4</w:t>
            </w:r>
          </w:p>
        </w:tc>
        <w:tc>
          <w:tcPr>
            <w:tcW w:w="1882" w:type="dxa"/>
            <w:vAlign w:val="center"/>
          </w:tcPr>
          <w:p w14:paraId="739BE17C" w14:textId="77777777" w:rsidR="007B0EBE" w:rsidRPr="00A94E1C" w:rsidRDefault="007B0EBE" w:rsidP="0051539C">
            <w:pPr>
              <w:ind w:right="150"/>
              <w:jc w:val="center"/>
              <w:rPr>
                <w:rFonts w:eastAsia="Times New Roman" w:cstheme="minorHAnsi"/>
                <w:sz w:val="24"/>
                <w:szCs w:val="24"/>
                <w:lang w:eastAsia="en-AU"/>
              </w:rPr>
            </w:pPr>
            <w:r w:rsidRPr="00A94E1C">
              <w:rPr>
                <w:rFonts w:eastAsia="Times New Roman" w:cstheme="minorHAnsi"/>
                <w:sz w:val="24"/>
                <w:szCs w:val="24"/>
                <w:lang w:eastAsia="en-AU"/>
              </w:rPr>
              <w:t>4</w:t>
            </w:r>
          </w:p>
        </w:tc>
      </w:tr>
    </w:tbl>
    <w:p w14:paraId="6B55F467" w14:textId="77777777" w:rsidR="00E23B1B" w:rsidRDefault="007B0EBE" w:rsidP="007B0EBE">
      <w:pPr>
        <w:spacing w:after="0" w:line="240" w:lineRule="auto"/>
        <w:ind w:right="150"/>
        <w:jc w:val="center"/>
        <w:rPr>
          <w:rFonts w:eastAsia="Times New Roman" w:cstheme="minorHAnsi"/>
          <w:color w:val="000000"/>
          <w:sz w:val="24"/>
          <w:szCs w:val="24"/>
          <w:lang w:eastAsia="en-AU"/>
        </w:rPr>
      </w:pPr>
      <w:r w:rsidRPr="008479FD">
        <w:rPr>
          <w:rFonts w:eastAsia="Times New Roman" w:cstheme="minorHAnsi"/>
          <w:color w:val="000000"/>
          <w:sz w:val="24"/>
          <w:szCs w:val="24"/>
          <w:lang w:eastAsia="en-AU"/>
        </w:rPr>
        <w:t xml:space="preserve">        </w:t>
      </w:r>
      <w:r w:rsidRPr="008479FD">
        <w:rPr>
          <w:rFonts w:eastAsia="Times New Roman" w:cstheme="minorHAnsi"/>
          <w:color w:val="000000"/>
          <w:sz w:val="24"/>
          <w:szCs w:val="24"/>
          <w:lang w:eastAsia="en-AU"/>
        </w:rPr>
        <w:tab/>
      </w:r>
    </w:p>
    <w:p w14:paraId="70F8D618" w14:textId="77777777" w:rsidR="00E23B1B" w:rsidRDefault="00E23B1B">
      <w:pPr>
        <w:rPr>
          <w:rFonts w:eastAsia="Times New Roman" w:cstheme="minorHAnsi"/>
          <w:color w:val="000000"/>
          <w:sz w:val="24"/>
          <w:szCs w:val="24"/>
          <w:lang w:eastAsia="en-AU"/>
        </w:rPr>
      </w:pPr>
      <w:r>
        <w:rPr>
          <w:rFonts w:eastAsia="Times New Roman" w:cstheme="minorHAnsi"/>
          <w:color w:val="000000"/>
          <w:sz w:val="24"/>
          <w:szCs w:val="24"/>
          <w:lang w:eastAsia="en-AU"/>
        </w:rPr>
        <w:br w:type="page"/>
      </w:r>
    </w:p>
    <w:p w14:paraId="02CBB0BE" w14:textId="5B8DFB91" w:rsidR="007B0EBE" w:rsidRPr="006017E9" w:rsidRDefault="007B0EBE" w:rsidP="007B0EBE">
      <w:pPr>
        <w:spacing w:after="0" w:line="240" w:lineRule="auto"/>
        <w:ind w:right="150"/>
        <w:jc w:val="center"/>
        <w:rPr>
          <w:rFonts w:eastAsia="Times New Roman" w:cstheme="minorHAnsi"/>
          <w:sz w:val="24"/>
          <w:szCs w:val="24"/>
          <w:lang w:eastAsia="en-AU"/>
        </w:rPr>
      </w:pPr>
      <w:r w:rsidRPr="006017E9">
        <w:rPr>
          <w:rFonts w:eastAsia="Times New Roman" w:cstheme="minorHAnsi"/>
          <w:sz w:val="24"/>
          <w:szCs w:val="24"/>
          <w:lang w:eastAsia="en-AU"/>
        </w:rPr>
        <w:lastRenderedPageBreak/>
        <w:t xml:space="preserve">NOTE: </w:t>
      </w:r>
      <w:r w:rsidR="00E23B1B">
        <w:rPr>
          <w:rFonts w:eastAsia="Times New Roman" w:cstheme="minorHAnsi"/>
          <w:sz w:val="24"/>
          <w:szCs w:val="24"/>
          <w:lang w:eastAsia="en-AU"/>
        </w:rPr>
        <w:t>Inquiry</w:t>
      </w:r>
      <w:r w:rsidRPr="006017E9">
        <w:rPr>
          <w:rFonts w:eastAsia="Times New Roman" w:cstheme="minorHAnsi"/>
          <w:sz w:val="24"/>
          <w:szCs w:val="24"/>
          <w:lang w:eastAsia="en-AU"/>
        </w:rPr>
        <w:t xml:space="preserve"> includes Humanities (History, Geography, Civics and Citizenship and Economics and Business) and Technologies (Design and Technologies and Digital Technologies)</w:t>
      </w:r>
    </w:p>
    <w:p w14:paraId="788971CA" w14:textId="5B48238B" w:rsidR="00382D0C" w:rsidRPr="00705209" w:rsidRDefault="007B0EBE" w:rsidP="007B0EBE">
      <w:pPr>
        <w:jc w:val="both"/>
        <w:rPr>
          <w:rFonts w:cstheme="minorHAnsi"/>
          <w:sz w:val="24"/>
          <w:szCs w:val="24"/>
        </w:rPr>
      </w:pPr>
      <w:r w:rsidRPr="008479FD">
        <w:rPr>
          <w:rFonts w:eastAsia="Times New Roman" w:cstheme="minorHAnsi"/>
          <w:sz w:val="24"/>
          <w:szCs w:val="24"/>
          <w:lang w:eastAsia="en-AU"/>
        </w:rPr>
        <w:br/>
      </w:r>
      <w:r w:rsidR="00382D0C" w:rsidRPr="00705209">
        <w:rPr>
          <w:rFonts w:cstheme="minorHAnsi"/>
          <w:sz w:val="24"/>
          <w:szCs w:val="24"/>
        </w:rPr>
        <w:t xml:space="preserve">Further information on how our school implements the curriculum, including the learning areas provided at each year level/band of schooling, and the capabilities that are developed by students across these learning areas and the </w:t>
      </w:r>
      <w:r w:rsidR="00382D0C" w:rsidRPr="0034518C">
        <w:rPr>
          <w:rFonts w:cstheme="minorHAnsi"/>
          <w:sz w:val="24"/>
          <w:szCs w:val="24"/>
        </w:rPr>
        <w:t xml:space="preserve">approximate time allocations for each learning area, is provided in our whole school, curriculum area, year level and unit / lesson </w:t>
      </w:r>
      <w:r w:rsidR="00382D0C" w:rsidRPr="00705209">
        <w:rPr>
          <w:rFonts w:cstheme="minorHAnsi"/>
          <w:sz w:val="24"/>
          <w:szCs w:val="24"/>
        </w:rPr>
        <w:t xml:space="preserve">curriculum plans. </w:t>
      </w:r>
    </w:p>
    <w:p w14:paraId="4BDF57E8" w14:textId="77777777" w:rsidR="00382D0C" w:rsidRPr="00705209" w:rsidRDefault="00382D0C" w:rsidP="00382D0C">
      <w:pPr>
        <w:jc w:val="both"/>
        <w:rPr>
          <w:rFonts w:cstheme="minorHAnsi"/>
          <w:b/>
          <w:bCs/>
          <w:sz w:val="24"/>
          <w:szCs w:val="24"/>
        </w:rPr>
      </w:pPr>
      <w:r w:rsidRPr="00705209">
        <w:rPr>
          <w:rFonts w:cstheme="minorHAnsi"/>
          <w:b/>
          <w:bCs/>
          <w:sz w:val="24"/>
          <w:szCs w:val="24"/>
        </w:rPr>
        <w:t>Language provision</w:t>
      </w:r>
    </w:p>
    <w:p w14:paraId="7EEF237E" w14:textId="537CDB57" w:rsidR="007B0EBE" w:rsidRDefault="00FE6E63" w:rsidP="006017E9">
      <w:pPr>
        <w:jc w:val="both"/>
        <w:rPr>
          <w:rFonts w:cstheme="minorHAnsi"/>
          <w:b/>
          <w:bCs/>
          <w:sz w:val="24"/>
          <w:szCs w:val="24"/>
        </w:rPr>
      </w:pPr>
      <w:r w:rsidRPr="00D44694">
        <w:rPr>
          <w:rFonts w:cstheme="minorHAnsi"/>
        </w:rPr>
        <w:t>Devon Meadows Primary School</w:t>
      </w:r>
      <w:r>
        <w:rPr>
          <w:rFonts w:cstheme="minorHAnsi"/>
        </w:rPr>
        <w:t xml:space="preserve"> </w:t>
      </w:r>
      <w:r w:rsidR="00382D0C" w:rsidRPr="00705209">
        <w:rPr>
          <w:rFonts w:cstheme="minorHAnsi"/>
          <w:sz w:val="24"/>
          <w:szCs w:val="24"/>
        </w:rPr>
        <w:t xml:space="preserve">will deliver </w:t>
      </w:r>
      <w:r>
        <w:rPr>
          <w:rFonts w:cstheme="minorHAnsi"/>
          <w:sz w:val="24"/>
          <w:szCs w:val="24"/>
        </w:rPr>
        <w:t>Auslan</w:t>
      </w:r>
      <w:r w:rsidR="00382D0C" w:rsidRPr="00705209">
        <w:rPr>
          <w:rFonts w:cstheme="minorHAnsi"/>
          <w:sz w:val="24"/>
          <w:szCs w:val="24"/>
        </w:rPr>
        <w:t xml:space="preserve"> as a Language, based on </w:t>
      </w:r>
      <w:r>
        <w:rPr>
          <w:rFonts w:cstheme="minorHAnsi"/>
          <w:sz w:val="24"/>
          <w:szCs w:val="24"/>
        </w:rPr>
        <w:t>what the school community requested</w:t>
      </w:r>
      <w:r w:rsidR="00382D0C" w:rsidRPr="00705209">
        <w:rPr>
          <w:rFonts w:cstheme="minorHAnsi"/>
          <w:sz w:val="24"/>
          <w:szCs w:val="24"/>
        </w:rPr>
        <w:t>.</w:t>
      </w:r>
      <w:r w:rsidR="006017E9">
        <w:rPr>
          <w:rFonts w:cstheme="minorHAnsi"/>
          <w:sz w:val="24"/>
          <w:szCs w:val="24"/>
        </w:rPr>
        <w:t xml:space="preserve"> </w:t>
      </w:r>
    </w:p>
    <w:p w14:paraId="699C40A0" w14:textId="48E11BAA" w:rsidR="00382D0C" w:rsidRPr="00705209" w:rsidRDefault="00382D0C" w:rsidP="00382D0C">
      <w:pPr>
        <w:jc w:val="both"/>
        <w:rPr>
          <w:rFonts w:cstheme="minorHAnsi"/>
          <w:b/>
          <w:bCs/>
          <w:sz w:val="24"/>
          <w:szCs w:val="24"/>
        </w:rPr>
      </w:pPr>
      <w:r w:rsidRPr="00705209">
        <w:rPr>
          <w:rFonts w:cstheme="minorHAnsi"/>
          <w:b/>
          <w:bCs/>
          <w:sz w:val="24"/>
          <w:szCs w:val="24"/>
        </w:rPr>
        <w:t>Pedagogy</w:t>
      </w:r>
    </w:p>
    <w:p w14:paraId="3CFF5939" w14:textId="77777777" w:rsidR="00E23B1B" w:rsidRDefault="00E23B1B" w:rsidP="00E23B1B">
      <w:r>
        <w:t>At Devon Meadows Primary School, we are committed to fostering a dynamic and inclusive learning environment that empowers every student to reach their full potential. Our pedagogy is grounded in the following principles:</w:t>
      </w:r>
    </w:p>
    <w:p w14:paraId="2B0EC250" w14:textId="4AC00AB1" w:rsidR="00E23B1B" w:rsidRDefault="00E23B1B" w:rsidP="00E23B1B">
      <w:pPr>
        <w:numPr>
          <w:ilvl w:val="0"/>
          <w:numId w:val="9"/>
        </w:numPr>
        <w:spacing w:line="252" w:lineRule="auto"/>
        <w:rPr>
          <w:rFonts w:eastAsia="Times New Roman"/>
        </w:rPr>
      </w:pPr>
      <w:r>
        <w:rPr>
          <w:rFonts w:eastAsia="Times New Roman"/>
          <w:b/>
          <w:bCs/>
        </w:rPr>
        <w:t>Student-Centred Learning</w:t>
      </w:r>
      <w:r>
        <w:rPr>
          <w:rFonts w:eastAsia="Times New Roman"/>
        </w:rPr>
        <w:t>: We believe that every child is unique and capable of meaningful learning. Our pedagogical approach places students at the centre of their educational journey, tailoring instruction to their diverse needs, interests, and abilities.</w:t>
      </w:r>
    </w:p>
    <w:p w14:paraId="70415266" w14:textId="77777777" w:rsidR="00E23B1B" w:rsidRDefault="00E23B1B" w:rsidP="00E23B1B">
      <w:pPr>
        <w:numPr>
          <w:ilvl w:val="0"/>
          <w:numId w:val="9"/>
        </w:numPr>
        <w:spacing w:line="252" w:lineRule="auto"/>
        <w:rPr>
          <w:rFonts w:eastAsia="Times New Roman"/>
        </w:rPr>
      </w:pPr>
      <w:r>
        <w:rPr>
          <w:rFonts w:eastAsia="Times New Roman"/>
          <w:b/>
          <w:bCs/>
        </w:rPr>
        <w:t>Holistic Development</w:t>
      </w:r>
      <w:r>
        <w:rPr>
          <w:rFonts w:eastAsia="Times New Roman"/>
        </w:rPr>
        <w:t>: Beyond academic excellence, we are dedicated to nurturing the holistic development of our students. We aim to cultivate their social, emotional, and ethical growth, preparing them to be responsible, empathetic, and informed global citizens.</w:t>
      </w:r>
    </w:p>
    <w:p w14:paraId="1502FD02" w14:textId="77777777" w:rsidR="00E23B1B" w:rsidRDefault="00E23B1B" w:rsidP="00E23B1B">
      <w:pPr>
        <w:numPr>
          <w:ilvl w:val="0"/>
          <w:numId w:val="9"/>
        </w:numPr>
        <w:spacing w:line="252" w:lineRule="auto"/>
        <w:rPr>
          <w:rFonts w:eastAsia="Times New Roman"/>
        </w:rPr>
      </w:pPr>
      <w:r>
        <w:rPr>
          <w:rFonts w:eastAsia="Times New Roman"/>
          <w:b/>
          <w:bCs/>
        </w:rPr>
        <w:t>Innovation and Adaptation</w:t>
      </w:r>
      <w:r>
        <w:rPr>
          <w:rFonts w:eastAsia="Times New Roman"/>
        </w:rPr>
        <w:t>: In a rapidly changing world, we prioritize innovation and adaptability in our teaching methods. Our educators are encouraged to explore innovative approaches, integrating technology and research-based practices to enhance learning experiences.</w:t>
      </w:r>
    </w:p>
    <w:p w14:paraId="2EB0E336" w14:textId="77777777" w:rsidR="00E23B1B" w:rsidRDefault="00E23B1B" w:rsidP="00E23B1B">
      <w:pPr>
        <w:numPr>
          <w:ilvl w:val="0"/>
          <w:numId w:val="9"/>
        </w:numPr>
        <w:spacing w:line="252" w:lineRule="auto"/>
        <w:rPr>
          <w:rFonts w:eastAsia="Times New Roman"/>
        </w:rPr>
      </w:pPr>
      <w:r>
        <w:rPr>
          <w:rFonts w:eastAsia="Times New Roman"/>
          <w:b/>
          <w:bCs/>
        </w:rPr>
        <w:t>Inclusivity and Equity</w:t>
      </w:r>
      <w:r>
        <w:rPr>
          <w:rFonts w:eastAsia="Times New Roman"/>
        </w:rPr>
        <w:t>: We are committed to creating an inclusive and equitable learning environment. We celebrate diversity and ensure that all students have equal access to quality education, regardless of their background or abilities.</w:t>
      </w:r>
    </w:p>
    <w:p w14:paraId="53094BE8" w14:textId="77777777" w:rsidR="00E23B1B" w:rsidRDefault="00E23B1B" w:rsidP="00E23B1B">
      <w:pPr>
        <w:numPr>
          <w:ilvl w:val="0"/>
          <w:numId w:val="9"/>
        </w:numPr>
        <w:spacing w:line="252" w:lineRule="auto"/>
        <w:rPr>
          <w:rFonts w:eastAsia="Times New Roman"/>
        </w:rPr>
      </w:pPr>
      <w:r>
        <w:rPr>
          <w:rFonts w:eastAsia="Times New Roman"/>
          <w:b/>
          <w:bCs/>
        </w:rPr>
        <w:t>Collaborative Learning</w:t>
      </w:r>
      <w:r>
        <w:rPr>
          <w:rFonts w:eastAsia="Times New Roman"/>
        </w:rPr>
        <w:t>: Collaboration is key to our pedagogy. We promote collaborative learning experiences that encourage students to work together, share ideas, and solve real-world problems, fostering critical thinking and teamwork.</w:t>
      </w:r>
    </w:p>
    <w:p w14:paraId="26B1F373" w14:textId="77777777" w:rsidR="00E23B1B" w:rsidRDefault="00E23B1B" w:rsidP="00E23B1B">
      <w:pPr>
        <w:numPr>
          <w:ilvl w:val="0"/>
          <w:numId w:val="9"/>
        </w:numPr>
        <w:spacing w:line="252" w:lineRule="auto"/>
        <w:rPr>
          <w:rFonts w:eastAsia="Times New Roman"/>
        </w:rPr>
      </w:pPr>
      <w:r>
        <w:rPr>
          <w:rFonts w:eastAsia="Times New Roman"/>
          <w:b/>
          <w:bCs/>
        </w:rPr>
        <w:t>Continuous Improvement</w:t>
      </w:r>
      <w:r>
        <w:rPr>
          <w:rFonts w:eastAsia="Times New Roman"/>
        </w:rPr>
        <w:t xml:space="preserve">: We believe in the value of continuous improvement. Our educators are dedicated to their own professional growth, staying </w:t>
      </w:r>
      <w:proofErr w:type="gramStart"/>
      <w:r>
        <w:rPr>
          <w:rFonts w:eastAsia="Times New Roman"/>
        </w:rPr>
        <w:t>up-to-date</w:t>
      </w:r>
      <w:proofErr w:type="gramEnd"/>
      <w:r>
        <w:rPr>
          <w:rFonts w:eastAsia="Times New Roman"/>
        </w:rPr>
        <w:t xml:space="preserve"> with best practices and actively seeking opportunities to enhance their teaching skills.</w:t>
      </w:r>
    </w:p>
    <w:p w14:paraId="6DBE150B" w14:textId="77777777" w:rsidR="00E23B1B" w:rsidRDefault="00E23B1B">
      <w:pPr>
        <w:rPr>
          <w:rFonts w:eastAsia="Times New Roman"/>
          <w:b/>
          <w:bCs/>
        </w:rPr>
      </w:pPr>
      <w:r>
        <w:rPr>
          <w:rFonts w:eastAsia="Times New Roman"/>
          <w:b/>
          <w:bCs/>
        </w:rPr>
        <w:br w:type="page"/>
      </w:r>
    </w:p>
    <w:p w14:paraId="13D55966" w14:textId="786C4C75" w:rsidR="00E23B1B" w:rsidRDefault="00E23B1B" w:rsidP="00E23B1B">
      <w:pPr>
        <w:numPr>
          <w:ilvl w:val="0"/>
          <w:numId w:val="9"/>
        </w:numPr>
        <w:spacing w:line="252" w:lineRule="auto"/>
        <w:rPr>
          <w:rFonts w:eastAsia="Times New Roman"/>
        </w:rPr>
      </w:pPr>
      <w:r>
        <w:rPr>
          <w:rFonts w:eastAsia="Times New Roman"/>
          <w:b/>
          <w:bCs/>
        </w:rPr>
        <w:lastRenderedPageBreak/>
        <w:t>Community Engagement</w:t>
      </w:r>
      <w:r>
        <w:rPr>
          <w:rFonts w:eastAsia="Times New Roman"/>
        </w:rPr>
        <w:t>: We recognize the importance of community involvement in education. We actively engage with parents, caregivers, and the broader community to create a supportive network that enhances the educational experience for our students.</w:t>
      </w:r>
    </w:p>
    <w:p w14:paraId="7AD350A1" w14:textId="402E60B7" w:rsidR="00E23B1B" w:rsidRDefault="00E23B1B" w:rsidP="00E23B1B">
      <w:pPr>
        <w:numPr>
          <w:ilvl w:val="0"/>
          <w:numId w:val="9"/>
        </w:numPr>
        <w:spacing w:line="252" w:lineRule="auto"/>
        <w:rPr>
          <w:rFonts w:eastAsia="Times New Roman"/>
        </w:rPr>
      </w:pPr>
      <w:r>
        <w:rPr>
          <w:rFonts w:eastAsia="Times New Roman"/>
          <w:b/>
          <w:bCs/>
        </w:rPr>
        <w:t>Environmental Stewardship</w:t>
      </w:r>
      <w:r>
        <w:rPr>
          <w:rFonts w:eastAsia="Times New Roman"/>
        </w:rPr>
        <w:t>: We instil a sense of environmental stewardship in our students, promoting sustainability and responsible citizenship.</w:t>
      </w:r>
    </w:p>
    <w:p w14:paraId="17C921A2" w14:textId="77777777" w:rsidR="00E23B1B" w:rsidRDefault="00E23B1B" w:rsidP="00E23B1B">
      <w:r>
        <w:t>At Devon Meadows Primary School, our pedagogy is not just a set of practices but a commitment to fostering a love of learning, encouraging curiosity, and empowering students to become confident, lifelong learners who contribute positively to society. Together, we strive for excellence in education and personal growth for every student in our care.</w:t>
      </w:r>
    </w:p>
    <w:p w14:paraId="76D570C3" w14:textId="5C190F56" w:rsidR="00382D0C" w:rsidRPr="00705209" w:rsidRDefault="00382D0C" w:rsidP="00382D0C">
      <w:pPr>
        <w:jc w:val="both"/>
        <w:rPr>
          <w:rFonts w:cstheme="minorHAnsi"/>
          <w:b/>
          <w:bCs/>
          <w:sz w:val="24"/>
          <w:szCs w:val="24"/>
        </w:rPr>
      </w:pPr>
      <w:r w:rsidRPr="00705209">
        <w:rPr>
          <w:rFonts w:cstheme="minorHAnsi"/>
          <w:b/>
          <w:bCs/>
          <w:sz w:val="24"/>
          <w:szCs w:val="24"/>
        </w:rPr>
        <w:t>Assessment</w:t>
      </w:r>
    </w:p>
    <w:p w14:paraId="7553CEF7" w14:textId="3DC0A77D" w:rsidR="00382D0C" w:rsidRPr="00705209" w:rsidRDefault="00E97980" w:rsidP="00382D0C">
      <w:pPr>
        <w:jc w:val="both"/>
        <w:rPr>
          <w:rFonts w:cstheme="minorHAnsi"/>
          <w:sz w:val="24"/>
          <w:szCs w:val="24"/>
        </w:rPr>
      </w:pPr>
      <w:r w:rsidRPr="00D44694">
        <w:rPr>
          <w:rFonts w:cstheme="minorHAnsi"/>
        </w:rPr>
        <w:t>Devon Meadows Primary School</w:t>
      </w:r>
      <w:r>
        <w:rPr>
          <w:rFonts w:cstheme="minorHAnsi"/>
        </w:rPr>
        <w:t xml:space="preserve"> </w:t>
      </w:r>
      <w:r w:rsidR="00382D0C" w:rsidRPr="00705209">
        <w:rPr>
          <w:rFonts w:cstheme="minorHAnsi"/>
          <w:sz w:val="24"/>
          <w:szCs w:val="24"/>
        </w:rPr>
        <w:t xml:space="preserve">assesses student progress in line with the Department’s </w:t>
      </w:r>
      <w:bookmarkStart w:id="0" w:name="_Hlk64903633"/>
      <w:r w:rsidR="00382D0C" w:rsidRPr="00705209">
        <w:rPr>
          <w:rFonts w:cstheme="minorHAnsi"/>
          <w:sz w:val="24"/>
          <w:szCs w:val="24"/>
        </w:rPr>
        <w:fldChar w:fldCharType="begin"/>
      </w:r>
      <w:r w:rsidR="00382D0C" w:rsidRPr="00705209">
        <w:rPr>
          <w:rFonts w:cstheme="minorHAnsi"/>
          <w:sz w:val="24"/>
          <w:szCs w:val="24"/>
        </w:rPr>
        <w:instrText xml:space="preserve"> HYPERLINK "https://www2.education.vic.gov.au/pal/assessment-student-achievement/policy" </w:instrText>
      </w:r>
      <w:r w:rsidR="00382D0C" w:rsidRPr="00705209">
        <w:rPr>
          <w:rFonts w:cstheme="minorHAnsi"/>
          <w:sz w:val="24"/>
          <w:szCs w:val="24"/>
        </w:rPr>
      </w:r>
      <w:r w:rsidR="00382D0C" w:rsidRPr="00705209">
        <w:rPr>
          <w:rFonts w:cstheme="minorHAnsi"/>
          <w:sz w:val="24"/>
          <w:szCs w:val="24"/>
        </w:rPr>
        <w:fldChar w:fldCharType="separate"/>
      </w:r>
      <w:r w:rsidR="00382D0C" w:rsidRPr="00705209">
        <w:rPr>
          <w:rStyle w:val="Hyperlink"/>
          <w:rFonts w:cstheme="minorHAnsi"/>
          <w:sz w:val="24"/>
          <w:szCs w:val="24"/>
        </w:rPr>
        <w:t>Assessment of Student Achievement and Progress Foundation to 10</w:t>
      </w:r>
      <w:r w:rsidR="00382D0C" w:rsidRPr="00705209">
        <w:rPr>
          <w:rFonts w:cstheme="minorHAnsi"/>
          <w:sz w:val="24"/>
          <w:szCs w:val="24"/>
        </w:rPr>
        <w:fldChar w:fldCharType="end"/>
      </w:r>
      <w:r w:rsidR="00382D0C" w:rsidRPr="00705209">
        <w:rPr>
          <w:rFonts w:cstheme="minorHAnsi"/>
          <w:sz w:val="24"/>
          <w:szCs w:val="24"/>
        </w:rPr>
        <w:t xml:space="preserve"> policy</w:t>
      </w:r>
      <w:bookmarkEnd w:id="0"/>
      <w:r w:rsidR="00382D0C" w:rsidRPr="00705209">
        <w:rPr>
          <w:rFonts w:cstheme="minorHAnsi"/>
          <w:sz w:val="24"/>
          <w:szCs w:val="24"/>
        </w:rPr>
        <w:t>.</w:t>
      </w:r>
      <w:r w:rsidR="007B0EBE">
        <w:rPr>
          <w:rFonts w:cstheme="minorHAnsi"/>
          <w:sz w:val="24"/>
          <w:szCs w:val="24"/>
        </w:rPr>
        <w:t xml:space="preserve"> The Devon Meadows </w:t>
      </w:r>
      <w:r w:rsidR="007B0EBE">
        <w:t xml:space="preserve">Primary School Assessment Schedule clearly outlines the tool, </w:t>
      </w:r>
      <w:proofErr w:type="gramStart"/>
      <w:r w:rsidR="007B0EBE">
        <w:t>requirements</w:t>
      </w:r>
      <w:proofErr w:type="gramEnd"/>
      <w:r w:rsidR="007B0EBE">
        <w:t xml:space="preserve"> and frequency of assessment within our school.</w:t>
      </w:r>
    </w:p>
    <w:p w14:paraId="2B37C9C0" w14:textId="0037AD73" w:rsidR="00382D0C" w:rsidRPr="00F43034" w:rsidRDefault="00382D0C" w:rsidP="00382D0C">
      <w:r w:rsidRPr="00080136">
        <w:t xml:space="preserve">Students at </w:t>
      </w:r>
      <w:r w:rsidR="00E97980" w:rsidRPr="00D44694">
        <w:rPr>
          <w:rFonts w:cstheme="minorHAnsi"/>
        </w:rPr>
        <w:t>Devon Meadows Primary School</w:t>
      </w:r>
      <w:r w:rsidR="00E97980">
        <w:rPr>
          <w:rFonts w:cstheme="minorHAnsi"/>
        </w:rPr>
        <w:t xml:space="preserve"> </w:t>
      </w:r>
      <w:r w:rsidRPr="00080136">
        <w:t>will have multiple and varied opportunities to demonstrate learning and achievement. Teachers use assessment tasks that cover multiple curriculum levels to ensure that evidence of learning and growth is captured for every student.</w:t>
      </w:r>
    </w:p>
    <w:p w14:paraId="397EA404" w14:textId="07BC8B97" w:rsidR="00382D0C" w:rsidRPr="00264341" w:rsidRDefault="00382D0C" w:rsidP="00382D0C">
      <w:pPr>
        <w:pStyle w:val="ListParagraph"/>
        <w:numPr>
          <w:ilvl w:val="0"/>
          <w:numId w:val="6"/>
        </w:numPr>
        <w:jc w:val="both"/>
      </w:pPr>
      <w:r w:rsidRPr="00264341">
        <w:t xml:space="preserve">Teachers at </w:t>
      </w:r>
      <w:r w:rsidR="0034518C">
        <w:t>Devon Meadows Primary School</w:t>
      </w:r>
      <w:r w:rsidRPr="00264341">
        <w:t xml:space="preserve"> use a combination of formative assessment for learning (to focus feedback and guide future learning) and summative assessment of learning (to determine what the student has learned at the end of a sequence of learning), alongside student self-assessment and reflection. </w:t>
      </w:r>
    </w:p>
    <w:p w14:paraId="4A66F35C" w14:textId="77777777" w:rsidR="00382D0C" w:rsidRPr="00264341" w:rsidRDefault="00382D0C" w:rsidP="00382D0C">
      <w:pPr>
        <w:pStyle w:val="ListParagraph"/>
        <w:numPr>
          <w:ilvl w:val="0"/>
          <w:numId w:val="6"/>
        </w:numPr>
        <w:jc w:val="both"/>
      </w:pPr>
      <w:r w:rsidRPr="00264341">
        <w:t xml:space="preserve">Assessment is used in an ongoing way, to guide future lessons and learning, as well as to keep students and parents informed of student progress. </w:t>
      </w:r>
    </w:p>
    <w:p w14:paraId="6A92FC51" w14:textId="77777777" w:rsidR="00382D0C" w:rsidRPr="00264341" w:rsidRDefault="00382D0C" w:rsidP="00382D0C">
      <w:pPr>
        <w:pStyle w:val="ListParagraph"/>
        <w:numPr>
          <w:ilvl w:val="0"/>
          <w:numId w:val="6"/>
        </w:numPr>
        <w:jc w:val="both"/>
      </w:pPr>
      <w:r w:rsidRPr="00264341">
        <w:t xml:space="preserve">Teachers will use a variety of assessment strategies to gather evidence about student achievement. The agreed assessment processes and tasks are documented in the Subject Unit Designs and Learning Sequences. The assessments may include, but are not limited to, tests and assignments, projects, portfolios, performances, </w:t>
      </w:r>
      <w:proofErr w:type="gramStart"/>
      <w:r w:rsidRPr="00264341">
        <w:t>discussions</w:t>
      </w:r>
      <w:proofErr w:type="gramEnd"/>
      <w:r w:rsidRPr="00264341">
        <w:t xml:space="preserve"> or student-teacher conferences. </w:t>
      </w:r>
    </w:p>
    <w:p w14:paraId="23E69ED9" w14:textId="77777777" w:rsidR="00382D0C" w:rsidRPr="00264341" w:rsidRDefault="00382D0C" w:rsidP="00382D0C">
      <w:pPr>
        <w:pStyle w:val="ListParagraph"/>
        <w:numPr>
          <w:ilvl w:val="0"/>
          <w:numId w:val="6"/>
        </w:numPr>
        <w:jc w:val="both"/>
      </w:pPr>
      <w:r w:rsidRPr="00264341">
        <w:t xml:space="preserve">Assessment tasks are developed to support students to show their knowledge, skills and understandings and will include clear instructions, relevant supporting documents (scaffolds, planning documents, etc) and allow sufficient time for completion. Teachers will make modifications to the task to cater for students with additional learning needs. </w:t>
      </w:r>
    </w:p>
    <w:p w14:paraId="6168A221" w14:textId="3A39F281" w:rsidR="00382D0C" w:rsidRPr="00264341" w:rsidRDefault="00264341" w:rsidP="00382D0C">
      <w:pPr>
        <w:pStyle w:val="ListParagraph"/>
        <w:numPr>
          <w:ilvl w:val="0"/>
          <w:numId w:val="6"/>
        </w:numPr>
        <w:jc w:val="both"/>
      </w:pPr>
      <w:r w:rsidRPr="00264341">
        <w:rPr>
          <w:rFonts w:cstheme="minorHAnsi"/>
        </w:rPr>
        <w:t xml:space="preserve">Devon Meadows Primary School </w:t>
      </w:r>
      <w:r w:rsidR="00382D0C" w:rsidRPr="00264341">
        <w:t>will develop Individual Education Plans (IEPs) for students who are part of the Program for Students with a Disability (PSD), Koorie students and students in ‘Out of Home’ care, in consultation with students, parents and where appropriate, with outside agencies.</w:t>
      </w:r>
    </w:p>
    <w:p w14:paraId="0620A7C7" w14:textId="77777777" w:rsidR="00382D0C" w:rsidRPr="00264341" w:rsidRDefault="00382D0C" w:rsidP="00382D0C">
      <w:pPr>
        <w:pStyle w:val="ListParagraph"/>
        <w:numPr>
          <w:ilvl w:val="0"/>
          <w:numId w:val="6"/>
        </w:numPr>
        <w:jc w:val="both"/>
      </w:pPr>
      <w:r w:rsidRPr="00264341">
        <w:t>Teachers will assess the achievements of students with disabilities and impairments in the context of the Victorian Curriculum and the ‘Towards Foundation Level Victorian Curriculum’ where applicable.</w:t>
      </w:r>
    </w:p>
    <w:p w14:paraId="45CD4CA8" w14:textId="77777777" w:rsidR="00E23B1B" w:rsidRDefault="00E23B1B">
      <w:pPr>
        <w:rPr>
          <w:lang w:val="en-AU"/>
        </w:rPr>
      </w:pPr>
      <w:r>
        <w:br w:type="page"/>
      </w:r>
    </w:p>
    <w:p w14:paraId="2DD14454" w14:textId="303A409B" w:rsidR="00382D0C" w:rsidRPr="00264341" w:rsidRDefault="00382D0C" w:rsidP="00382D0C">
      <w:pPr>
        <w:pStyle w:val="ListParagraph"/>
        <w:numPr>
          <w:ilvl w:val="0"/>
          <w:numId w:val="6"/>
        </w:numPr>
        <w:jc w:val="both"/>
      </w:pPr>
      <w:r w:rsidRPr="00264341">
        <w:lastRenderedPageBreak/>
        <w:t>The English language proficiency of English as Additional Language EAL students will be assessed using the Victorian Curriculum F-10 EAL.</w:t>
      </w:r>
    </w:p>
    <w:p w14:paraId="0BA94B37" w14:textId="5A7E4278" w:rsidR="00264341" w:rsidRPr="006017E9" w:rsidRDefault="00382D0C" w:rsidP="006017E9">
      <w:pPr>
        <w:pStyle w:val="ListParagraph"/>
        <w:numPr>
          <w:ilvl w:val="0"/>
          <w:numId w:val="6"/>
        </w:numPr>
        <w:jc w:val="both"/>
        <w:rPr>
          <w:b/>
          <w:bCs/>
        </w:rPr>
      </w:pPr>
      <w:r w:rsidRPr="00264341">
        <w:t>Where possible, staff will participate in cross marking of assessment tasks (moderation) involving assessment rubrics and work samples so that staff can apply consistent judgements of student progress against Victorian Curriculum Standards across the school.</w:t>
      </w:r>
    </w:p>
    <w:p w14:paraId="69DA3E03" w14:textId="10EDBE46" w:rsidR="00382D0C" w:rsidRPr="00F43034" w:rsidRDefault="00382D0C" w:rsidP="00382D0C">
      <w:pPr>
        <w:jc w:val="both"/>
        <w:rPr>
          <w:b/>
          <w:bCs/>
        </w:rPr>
      </w:pPr>
      <w:r w:rsidRPr="00F43034">
        <w:rPr>
          <w:b/>
          <w:bCs/>
        </w:rPr>
        <w:t>Reporting</w:t>
      </w:r>
    </w:p>
    <w:p w14:paraId="7489DC5E" w14:textId="0948AD2D" w:rsidR="00382D0C" w:rsidRPr="00080136" w:rsidRDefault="00E97980" w:rsidP="00382D0C">
      <w:r w:rsidRPr="00D44694">
        <w:rPr>
          <w:rFonts w:cstheme="minorHAnsi"/>
        </w:rPr>
        <w:t>Devon Meadows Primary School</w:t>
      </w:r>
      <w:r>
        <w:rPr>
          <w:rFonts w:cstheme="minorHAnsi"/>
        </w:rPr>
        <w:t xml:space="preserve"> </w:t>
      </w:r>
      <w:r w:rsidR="00382D0C" w:rsidRPr="00F43034">
        <w:t xml:space="preserve">reports student progress to parents in line with the Department’s </w:t>
      </w:r>
      <w:hyperlink r:id="rId13" w:history="1">
        <w:r w:rsidR="00382D0C" w:rsidRPr="00F43034">
          <w:rPr>
            <w:rStyle w:val="Hyperlink"/>
          </w:rPr>
          <w:t>Reporting Student Achievement and Progress Foundation to 10</w:t>
        </w:r>
      </w:hyperlink>
      <w:r w:rsidR="00382D0C" w:rsidRPr="00F43034">
        <w:t xml:space="preserve"> policy.</w:t>
      </w:r>
      <w:r w:rsidR="00382D0C">
        <w:t xml:space="preserve"> In addition, </w:t>
      </w:r>
      <w:r w:rsidRPr="00D44694">
        <w:rPr>
          <w:rFonts w:cstheme="minorHAnsi"/>
        </w:rPr>
        <w:t>Devon Meadows Primary School</w:t>
      </w:r>
      <w:r>
        <w:rPr>
          <w:rFonts w:cstheme="minorHAnsi"/>
        </w:rPr>
        <w:t xml:space="preserve"> </w:t>
      </w:r>
      <w:r w:rsidR="00382D0C" w:rsidRPr="00080136">
        <w:t xml:space="preserve">ensures that there is continuous sharing of assessment information formally and informally with parents/carers throughout the term/semester, including through twice-annual formal reporting. </w:t>
      </w:r>
    </w:p>
    <w:p w14:paraId="62FEFDF6" w14:textId="77777777" w:rsidR="00382D0C" w:rsidRPr="00264341" w:rsidRDefault="00382D0C" w:rsidP="00382D0C">
      <w:pPr>
        <w:jc w:val="both"/>
      </w:pPr>
      <w:r w:rsidRPr="00264341">
        <w:t>The report will be in a written format easy for parents/carers to understand and will be accessible in digital form with the option to translate text from English to another language, to cater to our school community. </w:t>
      </w:r>
    </w:p>
    <w:p w14:paraId="6B61C3CB" w14:textId="52F3AB1F" w:rsidR="00382D0C" w:rsidRPr="00264341" w:rsidRDefault="00E97980" w:rsidP="00382D0C">
      <w:pPr>
        <w:pStyle w:val="ListParagraph"/>
        <w:numPr>
          <w:ilvl w:val="0"/>
          <w:numId w:val="7"/>
        </w:numPr>
        <w:jc w:val="both"/>
      </w:pPr>
      <w:r w:rsidRPr="00264341">
        <w:rPr>
          <w:rFonts w:cstheme="minorHAnsi"/>
        </w:rPr>
        <w:t xml:space="preserve">Devon Meadows Primary School </w:t>
      </w:r>
      <w:r w:rsidR="00382D0C" w:rsidRPr="00264341">
        <w:t>will report directly against the Victorian </w:t>
      </w:r>
      <w:hyperlink r:id="rId14" w:tgtFrame="_blank" w:history="1">
        <w:r w:rsidR="00382D0C" w:rsidRPr="00264341">
          <w:rPr>
            <w:rStyle w:val="Hyperlink"/>
          </w:rPr>
          <w:t>Curriculum F-10 achievement standards </w:t>
        </w:r>
      </w:hyperlink>
      <w:r w:rsidR="00382D0C" w:rsidRPr="00264341">
        <w:t>or, if reporting on students for whom English is an additional language, the Victorian </w:t>
      </w:r>
      <w:hyperlink r:id="rId15" w:tgtFrame="_blank" w:history="1">
        <w:r w:rsidR="00382D0C" w:rsidRPr="00264341">
          <w:rPr>
            <w:rStyle w:val="Hyperlink"/>
          </w:rPr>
          <w:t>Curriculum F-10 EAL achievement standards</w:t>
        </w:r>
      </w:hyperlink>
      <w:r w:rsidR="00382D0C" w:rsidRPr="00264341">
        <w:t>.</w:t>
      </w:r>
    </w:p>
    <w:p w14:paraId="20A14580" w14:textId="77777777" w:rsidR="00382D0C" w:rsidRPr="00264341" w:rsidRDefault="00382D0C" w:rsidP="00382D0C">
      <w:pPr>
        <w:pStyle w:val="ListParagraph"/>
        <w:numPr>
          <w:ilvl w:val="0"/>
          <w:numId w:val="7"/>
        </w:numPr>
        <w:jc w:val="both"/>
      </w:pPr>
      <w:r w:rsidRPr="00264341">
        <w:t>Both student achievement and progress will be included in the report. </w:t>
      </w:r>
    </w:p>
    <w:p w14:paraId="65F3F1A0" w14:textId="77777777" w:rsidR="00382D0C" w:rsidRPr="00264341" w:rsidRDefault="00382D0C" w:rsidP="00382D0C">
      <w:pPr>
        <w:pStyle w:val="ListParagraph"/>
        <w:numPr>
          <w:ilvl w:val="0"/>
          <w:numId w:val="7"/>
        </w:numPr>
        <w:jc w:val="both"/>
      </w:pPr>
      <w:r w:rsidRPr="00264341">
        <w:t xml:space="preserve">An age-related five-point scale, where the quality of a student’s achievement against what is ‘expected’ for students of that year level at the time of reporting, will be used for reporting against the achievement standards in English, Mathematics and Science (where applicable). </w:t>
      </w:r>
    </w:p>
    <w:p w14:paraId="66537321" w14:textId="77777777" w:rsidR="00382D0C" w:rsidRPr="00264341" w:rsidRDefault="00382D0C" w:rsidP="00382D0C">
      <w:pPr>
        <w:pStyle w:val="ListParagraph"/>
        <w:numPr>
          <w:ilvl w:val="0"/>
          <w:numId w:val="7"/>
        </w:numPr>
        <w:jc w:val="both"/>
      </w:pPr>
      <w:r w:rsidRPr="00264341">
        <w:t>Opportunities will be provided for parents/carers and students to discuss the school report with teachers and/or school leaders. </w:t>
      </w:r>
    </w:p>
    <w:p w14:paraId="2A74A6D6" w14:textId="77777777" w:rsidR="00382D0C" w:rsidRPr="00E23B1B" w:rsidRDefault="00382D0C" w:rsidP="00382D0C">
      <w:pPr>
        <w:jc w:val="both"/>
      </w:pPr>
      <w:r w:rsidRPr="00264341">
        <w:t xml:space="preserve">Parent-teacher interviews, conducted twice-yearly, enable the opportunity to discuss the students’ progress and how they can continue to be supported </w:t>
      </w:r>
      <w:r w:rsidRPr="00E23B1B">
        <w:t xml:space="preserve">at home. Interpreting services will be made available where required.  </w:t>
      </w:r>
    </w:p>
    <w:p w14:paraId="58311E28" w14:textId="77777777" w:rsidR="00382D0C" w:rsidRPr="00E23B1B" w:rsidRDefault="00382D0C" w:rsidP="00382D0C">
      <w:pPr>
        <w:jc w:val="both"/>
        <w:outlineLvl w:val="1"/>
        <w:rPr>
          <w:rFonts w:asciiTheme="majorHAnsi" w:eastAsiaTheme="majorEastAsia" w:hAnsiTheme="majorHAnsi" w:cstheme="majorBidi"/>
          <w:b/>
          <w:caps/>
          <w:sz w:val="26"/>
          <w:szCs w:val="26"/>
        </w:rPr>
      </w:pPr>
      <w:r w:rsidRPr="00E23B1B">
        <w:rPr>
          <w:rFonts w:asciiTheme="majorHAnsi" w:eastAsiaTheme="majorEastAsia" w:hAnsiTheme="majorHAnsi" w:cstheme="majorBidi"/>
          <w:b/>
          <w:caps/>
          <w:sz w:val="26"/>
          <w:szCs w:val="26"/>
        </w:rPr>
        <w:t>curriculum and teaching practice review</w:t>
      </w:r>
    </w:p>
    <w:p w14:paraId="4D95D3D5" w14:textId="77777777" w:rsidR="00C90000" w:rsidRDefault="00382D0C" w:rsidP="00382D0C">
      <w:pPr>
        <w:jc w:val="both"/>
      </w:pPr>
      <w:r w:rsidRPr="00F43034">
        <w:t xml:space="preserve">School curriculum and teaching practice is reviewed against the </w:t>
      </w:r>
      <w:hyperlink r:id="rId16" w:history="1">
        <w:r w:rsidRPr="00746DAF">
          <w:rPr>
            <w:rStyle w:val="Hyperlink"/>
          </w:rPr>
          <w:t>Framework for Improving of Student Outcomes (FISO 2.0)</w:t>
        </w:r>
      </w:hyperlink>
      <w:r w:rsidRPr="00F43034">
        <w:t>. FISO and the FISO improvement cycle help identify focus areas for improvement and to evaluate the impact of introduced initiatives.</w:t>
      </w:r>
      <w:r w:rsidR="00C90000">
        <w:t xml:space="preserve"> This evaluation is completed through the Strategic Planning Online Tool (SPOT</w:t>
      </w:r>
      <w:proofErr w:type="gramStart"/>
      <w:r w:rsidR="00C90000">
        <w:t>)</w:t>
      </w:r>
      <w:proofErr w:type="gramEnd"/>
      <w:r w:rsidR="00C90000">
        <w:t xml:space="preserve"> and it directly influences school direction in the form of what goals are set in the School Strategic Plan (SSP) and Annual Implementation Plan (AIP). </w:t>
      </w:r>
    </w:p>
    <w:p w14:paraId="6F5ECA22" w14:textId="0A432958" w:rsidR="00382D0C" w:rsidRDefault="00C90000" w:rsidP="00382D0C">
      <w:pPr>
        <w:jc w:val="both"/>
      </w:pPr>
      <w:r>
        <w:t>Whole school curriculum documents are visited annually to ensure their validity. Termly and weekly level planning is reviewed as its name suggests. Consistent template use is visible across the school, to ensure consistency in its presentation and detail, supporting teachers to be able to adapt documents to their current contexts.</w:t>
      </w:r>
    </w:p>
    <w:p w14:paraId="327F3F73" w14:textId="77777777" w:rsidR="00E23B1B" w:rsidRDefault="00E23B1B">
      <w:pPr>
        <w:rPr>
          <w:b/>
          <w:bCs/>
        </w:rPr>
      </w:pPr>
      <w:r>
        <w:rPr>
          <w:b/>
          <w:bCs/>
        </w:rPr>
        <w:br w:type="page"/>
      </w:r>
    </w:p>
    <w:p w14:paraId="347D43E2" w14:textId="4E411995" w:rsidR="00382D0C" w:rsidRDefault="00382D0C" w:rsidP="00382D0C">
      <w:pPr>
        <w:jc w:val="both"/>
        <w:rPr>
          <w:b/>
          <w:bCs/>
        </w:rPr>
      </w:pPr>
      <w:r w:rsidRPr="00071166">
        <w:rPr>
          <w:b/>
          <w:bCs/>
        </w:rPr>
        <w:lastRenderedPageBreak/>
        <w:t xml:space="preserve">Review of teaching practice </w:t>
      </w:r>
    </w:p>
    <w:p w14:paraId="44A1FE62" w14:textId="349D877F" w:rsidR="00382D0C" w:rsidRDefault="00E97980" w:rsidP="00382D0C">
      <w:pPr>
        <w:jc w:val="both"/>
      </w:pPr>
      <w:r w:rsidRPr="00D44694">
        <w:rPr>
          <w:rFonts w:cstheme="minorHAnsi"/>
        </w:rPr>
        <w:t>Devon Meadows Primary School</w:t>
      </w:r>
      <w:r>
        <w:rPr>
          <w:rFonts w:cstheme="minorHAnsi"/>
        </w:rPr>
        <w:t xml:space="preserve"> </w:t>
      </w:r>
      <w:r w:rsidR="00382D0C">
        <w:t>reviews teaching practice via:</w:t>
      </w:r>
    </w:p>
    <w:p w14:paraId="15A8C1CE" w14:textId="77777777" w:rsidR="00382D0C" w:rsidRDefault="00382D0C" w:rsidP="00382D0C">
      <w:pPr>
        <w:pStyle w:val="ListParagraph"/>
        <w:numPr>
          <w:ilvl w:val="0"/>
          <w:numId w:val="8"/>
        </w:numPr>
        <w:jc w:val="both"/>
      </w:pPr>
      <w:r>
        <w:t>Professional Learning Communities, which link the learning needs of students with the professional learning and practice of teachers and provide an opportunity for teachers to collaboratively evaluate the effect of high impact teaching strategies; and</w:t>
      </w:r>
    </w:p>
    <w:p w14:paraId="061FCB44" w14:textId="77777777" w:rsidR="00382D0C" w:rsidRPr="001C5D7D" w:rsidRDefault="00382D0C" w:rsidP="00382D0C">
      <w:pPr>
        <w:pStyle w:val="ListParagraph"/>
        <w:numPr>
          <w:ilvl w:val="0"/>
          <w:numId w:val="8"/>
        </w:numPr>
        <w:jc w:val="both"/>
      </w:pPr>
      <w:r>
        <w:t xml:space="preserve">the Performance Development cycle, which provides an opportunity to provide feedback to teaching staff on their performance to support ongoing learning and development, with a focus on how student learning can be improved through improving teaching practice. </w:t>
      </w:r>
    </w:p>
    <w:p w14:paraId="0CC59180" w14:textId="77777777" w:rsidR="00382D0C" w:rsidRPr="00F43034" w:rsidRDefault="00382D0C" w:rsidP="00382D0C">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t>Further information and resources</w:t>
      </w:r>
    </w:p>
    <w:p w14:paraId="126B8BE8" w14:textId="77777777" w:rsidR="00382D0C" w:rsidRPr="00F43034" w:rsidRDefault="00382D0C" w:rsidP="00382D0C">
      <w:pPr>
        <w:pStyle w:val="ListParagraph"/>
        <w:numPr>
          <w:ilvl w:val="0"/>
          <w:numId w:val="3"/>
        </w:numPr>
        <w:jc w:val="both"/>
        <w:rPr>
          <w:rFonts w:cstheme="minorHAnsi"/>
        </w:rPr>
      </w:pPr>
      <w:r w:rsidRPr="00F43034">
        <w:rPr>
          <w:rFonts w:cstheme="minorHAnsi"/>
        </w:rPr>
        <w:t xml:space="preserve">Policy and Advisory Library: </w:t>
      </w:r>
    </w:p>
    <w:p w14:paraId="42E303CB" w14:textId="77777777" w:rsidR="00382D0C" w:rsidRPr="00A32948" w:rsidRDefault="00702301" w:rsidP="00382D0C">
      <w:pPr>
        <w:pStyle w:val="ListParagraph"/>
        <w:numPr>
          <w:ilvl w:val="1"/>
          <w:numId w:val="3"/>
        </w:numPr>
        <w:jc w:val="both"/>
        <w:rPr>
          <w:rFonts w:cstheme="minorHAnsi"/>
        </w:rPr>
      </w:pPr>
      <w:hyperlink r:id="rId17" w:history="1">
        <w:r w:rsidR="00382D0C" w:rsidRPr="00A32948">
          <w:rPr>
            <w:rStyle w:val="Hyperlink"/>
            <w:rFonts w:cstheme="minorHAnsi"/>
          </w:rPr>
          <w:t>Curriculum Programs Foundation to 10</w:t>
        </w:r>
      </w:hyperlink>
    </w:p>
    <w:p w14:paraId="1A156BA6" w14:textId="77777777" w:rsidR="00382D0C" w:rsidRPr="00A32948" w:rsidRDefault="00702301" w:rsidP="00382D0C">
      <w:pPr>
        <w:pStyle w:val="ListParagraph"/>
        <w:numPr>
          <w:ilvl w:val="1"/>
          <w:numId w:val="3"/>
        </w:numPr>
        <w:jc w:val="both"/>
        <w:rPr>
          <w:rFonts w:cstheme="minorHAnsi"/>
        </w:rPr>
      </w:pPr>
      <w:hyperlink r:id="rId18" w:history="1">
        <w:r w:rsidR="00382D0C" w:rsidRPr="00A32948">
          <w:rPr>
            <w:rStyle w:val="Hyperlink"/>
            <w:rFonts w:cstheme="minorHAnsi"/>
          </w:rPr>
          <w:t>Framework for Improving Student Outcomes (FISO</w:t>
        </w:r>
        <w:r w:rsidR="00382D0C">
          <w:rPr>
            <w:rStyle w:val="Hyperlink"/>
            <w:rFonts w:cstheme="minorHAnsi"/>
          </w:rPr>
          <w:t xml:space="preserve"> 2.0</w:t>
        </w:r>
        <w:r w:rsidR="00382D0C" w:rsidRPr="00A32948">
          <w:rPr>
            <w:rStyle w:val="Hyperlink"/>
            <w:rFonts w:cstheme="minorHAnsi"/>
          </w:rPr>
          <w:t>)</w:t>
        </w:r>
      </w:hyperlink>
    </w:p>
    <w:bookmarkStart w:id="1" w:name="_Hlk64903094"/>
    <w:p w14:paraId="42CF7E2B" w14:textId="77777777" w:rsidR="00382D0C" w:rsidRPr="00A32948" w:rsidRDefault="00382D0C" w:rsidP="00382D0C">
      <w:pPr>
        <w:pStyle w:val="ListParagraph"/>
        <w:numPr>
          <w:ilvl w:val="1"/>
          <w:numId w:val="3"/>
        </w:numPr>
        <w:jc w:val="both"/>
        <w:rPr>
          <w:rFonts w:cstheme="minorHAnsi"/>
        </w:rPr>
      </w:pPr>
      <w:r w:rsidRPr="00A32948">
        <w:rPr>
          <w:rFonts w:cstheme="minorHAnsi"/>
        </w:rPr>
        <w:fldChar w:fldCharType="begin"/>
      </w:r>
      <w:r w:rsidRPr="00A32948">
        <w:rPr>
          <w:rFonts w:cstheme="minorHAnsi"/>
        </w:rPr>
        <w:instrText xml:space="preserve"> HYPERLINK "https://www2.education.vic.gov.au/pal/assessment-student-achievement/policy" </w:instrText>
      </w:r>
      <w:r w:rsidRPr="00A32948">
        <w:rPr>
          <w:rFonts w:cstheme="minorHAnsi"/>
        </w:rPr>
      </w:r>
      <w:r w:rsidRPr="00A32948">
        <w:rPr>
          <w:rFonts w:cstheme="minorHAnsi"/>
        </w:rPr>
        <w:fldChar w:fldCharType="separate"/>
      </w:r>
      <w:r w:rsidRPr="00A32948">
        <w:rPr>
          <w:rStyle w:val="Hyperlink"/>
          <w:rFonts w:cstheme="minorHAnsi"/>
        </w:rPr>
        <w:t>Assessment of Student Achievement and Progress Foundation to 10</w:t>
      </w:r>
      <w:r w:rsidRPr="00A32948">
        <w:rPr>
          <w:rFonts w:cstheme="minorHAnsi"/>
        </w:rPr>
        <w:fldChar w:fldCharType="end"/>
      </w:r>
    </w:p>
    <w:bookmarkEnd w:id="1"/>
    <w:p w14:paraId="2D2820AC" w14:textId="77777777" w:rsidR="00382D0C" w:rsidRPr="00A32948" w:rsidRDefault="00382D0C" w:rsidP="00382D0C">
      <w:pPr>
        <w:pStyle w:val="ListParagraph"/>
        <w:numPr>
          <w:ilvl w:val="1"/>
          <w:numId w:val="3"/>
        </w:numPr>
        <w:jc w:val="both"/>
        <w:rPr>
          <w:rFonts w:cstheme="minorHAnsi"/>
        </w:rPr>
      </w:pPr>
      <w:r w:rsidRPr="00A32948">
        <w:rPr>
          <w:rFonts w:cstheme="minorHAnsi"/>
        </w:rPr>
        <w:fldChar w:fldCharType="begin"/>
      </w:r>
      <w:r w:rsidRPr="00A32948">
        <w:rPr>
          <w:rFonts w:cstheme="minorHAnsi"/>
        </w:rPr>
        <w:instrText xml:space="preserve"> HYPERLINK "https://www2.education.vic.gov.au/pal/digital-learning/policy" </w:instrText>
      </w:r>
      <w:r w:rsidRPr="00A32948">
        <w:rPr>
          <w:rFonts w:cstheme="minorHAnsi"/>
        </w:rPr>
      </w:r>
      <w:r w:rsidRPr="00A32948">
        <w:rPr>
          <w:rFonts w:cstheme="minorHAnsi"/>
        </w:rPr>
        <w:fldChar w:fldCharType="separate"/>
      </w:r>
      <w:r w:rsidRPr="00A32948">
        <w:rPr>
          <w:rStyle w:val="Hyperlink"/>
          <w:rFonts w:cstheme="minorHAnsi"/>
        </w:rPr>
        <w:t>Digital Learning in Schools</w:t>
      </w:r>
      <w:r w:rsidRPr="00A32948">
        <w:rPr>
          <w:rFonts w:cstheme="minorHAnsi"/>
        </w:rPr>
        <w:fldChar w:fldCharType="end"/>
      </w:r>
    </w:p>
    <w:p w14:paraId="777A3348" w14:textId="77777777" w:rsidR="00382D0C" w:rsidRPr="00A32948" w:rsidRDefault="00702301" w:rsidP="00382D0C">
      <w:pPr>
        <w:pStyle w:val="ListParagraph"/>
        <w:numPr>
          <w:ilvl w:val="1"/>
          <w:numId w:val="3"/>
        </w:numPr>
        <w:jc w:val="both"/>
        <w:rPr>
          <w:rFonts w:cstheme="minorHAnsi"/>
        </w:rPr>
      </w:pPr>
      <w:hyperlink r:id="rId19" w:history="1">
        <w:r w:rsidR="00382D0C" w:rsidRPr="00A32948">
          <w:rPr>
            <w:rStyle w:val="Hyperlink"/>
            <w:rFonts w:cstheme="minorHAnsi"/>
          </w:rPr>
          <w:t>Students with Disability</w:t>
        </w:r>
      </w:hyperlink>
    </w:p>
    <w:p w14:paraId="260E5854" w14:textId="77777777" w:rsidR="00382D0C" w:rsidRPr="00F43034" w:rsidRDefault="00702301" w:rsidP="00382D0C">
      <w:pPr>
        <w:pStyle w:val="ListParagraph"/>
        <w:numPr>
          <w:ilvl w:val="1"/>
          <w:numId w:val="3"/>
        </w:numPr>
        <w:jc w:val="both"/>
        <w:rPr>
          <w:rStyle w:val="Hyperlink"/>
        </w:rPr>
      </w:pPr>
      <w:hyperlink r:id="rId20" w:history="1">
        <w:r w:rsidR="00382D0C" w:rsidRPr="00F43034">
          <w:rPr>
            <w:rStyle w:val="Hyperlink"/>
            <w:rFonts w:cstheme="minorHAnsi"/>
          </w:rPr>
          <w:t>Koorie Education</w:t>
        </w:r>
      </w:hyperlink>
    </w:p>
    <w:p w14:paraId="0F5F5C12" w14:textId="77777777" w:rsidR="00382D0C" w:rsidRPr="00555A2F" w:rsidRDefault="00702301" w:rsidP="00382D0C">
      <w:pPr>
        <w:pStyle w:val="ListParagraph"/>
        <w:numPr>
          <w:ilvl w:val="1"/>
          <w:numId w:val="3"/>
        </w:numPr>
        <w:jc w:val="both"/>
        <w:rPr>
          <w:rStyle w:val="Hyperlink"/>
          <w:rFonts w:cstheme="minorHAnsi"/>
        </w:rPr>
      </w:pPr>
      <w:hyperlink r:id="rId21" w:history="1">
        <w:r w:rsidR="00382D0C" w:rsidRPr="00555A2F">
          <w:rPr>
            <w:rStyle w:val="Hyperlink"/>
            <w:rFonts w:cstheme="minorHAnsi"/>
          </w:rPr>
          <w:t>Languages Education</w:t>
        </w:r>
      </w:hyperlink>
    </w:p>
    <w:p w14:paraId="585BD1F0" w14:textId="77777777" w:rsidR="00382D0C" w:rsidRPr="00555A2F" w:rsidRDefault="00702301" w:rsidP="00382D0C">
      <w:pPr>
        <w:pStyle w:val="ListParagraph"/>
        <w:numPr>
          <w:ilvl w:val="1"/>
          <w:numId w:val="3"/>
        </w:numPr>
        <w:jc w:val="both"/>
        <w:rPr>
          <w:rStyle w:val="Hyperlink"/>
          <w:rFonts w:cstheme="minorHAnsi"/>
        </w:rPr>
      </w:pPr>
      <w:hyperlink r:id="rId22" w:history="1">
        <w:r w:rsidR="00382D0C" w:rsidRPr="00555A2F">
          <w:rPr>
            <w:rStyle w:val="Hyperlink"/>
            <w:rFonts w:cstheme="minorHAnsi"/>
          </w:rPr>
          <w:t>Physical and Sport Education — Delivery Requirements</w:t>
        </w:r>
      </w:hyperlink>
    </w:p>
    <w:p w14:paraId="5591D541" w14:textId="77777777" w:rsidR="00382D0C" w:rsidRDefault="00702301" w:rsidP="00382D0C">
      <w:pPr>
        <w:pStyle w:val="ListParagraph"/>
        <w:numPr>
          <w:ilvl w:val="1"/>
          <w:numId w:val="3"/>
        </w:numPr>
        <w:jc w:val="both"/>
        <w:rPr>
          <w:rStyle w:val="Hyperlink"/>
        </w:rPr>
      </w:pPr>
      <w:hyperlink r:id="rId23" w:history="1">
        <w:r w:rsidR="00382D0C" w:rsidRPr="00F43034">
          <w:rPr>
            <w:rStyle w:val="Hyperlink"/>
          </w:rPr>
          <w:t>Holocaust Education</w:t>
        </w:r>
      </w:hyperlink>
    </w:p>
    <w:p w14:paraId="56AEFC1F" w14:textId="77777777" w:rsidR="00382D0C" w:rsidRDefault="00702301" w:rsidP="00382D0C">
      <w:pPr>
        <w:pStyle w:val="ListParagraph"/>
        <w:numPr>
          <w:ilvl w:val="1"/>
          <w:numId w:val="3"/>
        </w:numPr>
        <w:jc w:val="both"/>
        <w:rPr>
          <w:rStyle w:val="Hyperlink"/>
        </w:rPr>
      </w:pPr>
      <w:hyperlink r:id="rId24" w:history="1">
        <w:r w:rsidR="00382D0C" w:rsidRPr="00F43034">
          <w:rPr>
            <w:rStyle w:val="Hyperlink"/>
          </w:rPr>
          <w:t>Reporting Student Achievement and Progress Foundation to 10</w:t>
        </w:r>
      </w:hyperlink>
    </w:p>
    <w:p w14:paraId="120B257B" w14:textId="77777777" w:rsidR="00382D0C" w:rsidRPr="00F43034" w:rsidRDefault="00702301" w:rsidP="00382D0C">
      <w:pPr>
        <w:pStyle w:val="ListParagraph"/>
        <w:numPr>
          <w:ilvl w:val="1"/>
          <w:numId w:val="3"/>
        </w:numPr>
        <w:jc w:val="both"/>
        <w:rPr>
          <w:rStyle w:val="Hyperlink"/>
        </w:rPr>
      </w:pPr>
      <w:hyperlink r:id="rId25" w:history="1">
        <w:r w:rsidR="00382D0C" w:rsidRPr="005E7527">
          <w:rPr>
            <w:rStyle w:val="Hyperlink"/>
          </w:rPr>
          <w:t>Sexuality and Consent Education</w:t>
        </w:r>
      </w:hyperlink>
    </w:p>
    <w:p w14:paraId="50A98898" w14:textId="77777777" w:rsidR="00382D0C" w:rsidRPr="00F43034" w:rsidRDefault="00702301" w:rsidP="00382D0C">
      <w:pPr>
        <w:pStyle w:val="ListParagraph"/>
        <w:numPr>
          <w:ilvl w:val="1"/>
          <w:numId w:val="3"/>
        </w:numPr>
        <w:ind w:left="1434" w:hanging="357"/>
        <w:contextualSpacing w:val="0"/>
        <w:jc w:val="both"/>
        <w:rPr>
          <w:rStyle w:val="Hyperlink"/>
        </w:rPr>
      </w:pPr>
      <w:hyperlink r:id="rId26" w:history="1">
        <w:r w:rsidR="00382D0C" w:rsidRPr="00F43034">
          <w:rPr>
            <w:rStyle w:val="Hyperlink"/>
          </w:rPr>
          <w:t>School Hours (including variation to hours)</w:t>
        </w:r>
      </w:hyperlink>
    </w:p>
    <w:p w14:paraId="12EA0FCE" w14:textId="018BAABB" w:rsidR="00382D0C" w:rsidRPr="00F43034" w:rsidRDefault="00382D0C" w:rsidP="00382D0C">
      <w:pPr>
        <w:pStyle w:val="ListParagraph"/>
        <w:numPr>
          <w:ilvl w:val="0"/>
          <w:numId w:val="3"/>
        </w:numPr>
        <w:jc w:val="both"/>
        <w:rPr>
          <w:rFonts w:cstheme="minorHAnsi"/>
        </w:rPr>
      </w:pPr>
      <w:r w:rsidRPr="00F43034">
        <w:rPr>
          <w:rFonts w:cstheme="minorHAnsi"/>
        </w:rPr>
        <w:t>This policy should be read alongside:</w:t>
      </w:r>
    </w:p>
    <w:p w14:paraId="386D0A7C" w14:textId="77777777" w:rsidR="00382D0C" w:rsidRPr="0034518C" w:rsidRDefault="00382D0C" w:rsidP="00382D0C">
      <w:pPr>
        <w:pStyle w:val="ListParagraph"/>
        <w:numPr>
          <w:ilvl w:val="1"/>
          <w:numId w:val="3"/>
        </w:numPr>
        <w:jc w:val="both"/>
        <w:rPr>
          <w:rFonts w:cstheme="minorHAnsi"/>
        </w:rPr>
      </w:pPr>
      <w:r w:rsidRPr="0034518C">
        <w:rPr>
          <w:lang w:eastAsia="en-AU"/>
        </w:rPr>
        <w:t>whole school curriculum plan</w:t>
      </w:r>
    </w:p>
    <w:p w14:paraId="4A37F6D0" w14:textId="77777777" w:rsidR="00382D0C" w:rsidRPr="0034518C" w:rsidRDefault="00382D0C" w:rsidP="00382D0C">
      <w:pPr>
        <w:pStyle w:val="ListParagraph"/>
        <w:numPr>
          <w:ilvl w:val="1"/>
          <w:numId w:val="3"/>
        </w:numPr>
        <w:jc w:val="both"/>
        <w:rPr>
          <w:rFonts w:cstheme="minorHAnsi"/>
        </w:rPr>
      </w:pPr>
      <w:r w:rsidRPr="0034518C">
        <w:rPr>
          <w:lang w:eastAsia="en-AU"/>
        </w:rPr>
        <w:t xml:space="preserve">teaching and learning program for each learning area and </w:t>
      </w:r>
      <w:proofErr w:type="gramStart"/>
      <w:r w:rsidRPr="0034518C">
        <w:rPr>
          <w:lang w:eastAsia="en-AU"/>
        </w:rPr>
        <w:t>capability</w:t>
      </w:r>
      <w:proofErr w:type="gramEnd"/>
    </w:p>
    <w:p w14:paraId="60045324" w14:textId="77777777" w:rsidR="00382D0C" w:rsidRPr="0034518C" w:rsidRDefault="00382D0C" w:rsidP="00382D0C">
      <w:pPr>
        <w:pStyle w:val="ListParagraph"/>
        <w:numPr>
          <w:ilvl w:val="1"/>
          <w:numId w:val="3"/>
        </w:numPr>
        <w:jc w:val="both"/>
        <w:rPr>
          <w:rFonts w:cstheme="minorHAnsi"/>
        </w:rPr>
      </w:pPr>
      <w:r w:rsidRPr="0034518C">
        <w:rPr>
          <w:lang w:eastAsia="en-AU"/>
        </w:rPr>
        <w:t xml:space="preserve">teaching and learning program for each year </w:t>
      </w:r>
      <w:proofErr w:type="gramStart"/>
      <w:r w:rsidRPr="0034518C">
        <w:rPr>
          <w:lang w:eastAsia="en-AU"/>
        </w:rPr>
        <w:t>level</w:t>
      </w:r>
      <w:proofErr w:type="gramEnd"/>
    </w:p>
    <w:p w14:paraId="20F67428" w14:textId="6743CB89" w:rsidR="00382D0C" w:rsidRPr="0034518C" w:rsidRDefault="00382D0C" w:rsidP="00382D0C">
      <w:pPr>
        <w:pStyle w:val="ListParagraph"/>
        <w:numPr>
          <w:ilvl w:val="1"/>
          <w:numId w:val="3"/>
        </w:numPr>
        <w:jc w:val="both"/>
        <w:rPr>
          <w:rFonts w:cstheme="minorHAnsi"/>
        </w:rPr>
      </w:pPr>
      <w:r w:rsidRPr="0034518C">
        <w:rPr>
          <w:lang w:eastAsia="en-AU"/>
        </w:rPr>
        <w:t>unit plans/sequence of lessons.</w:t>
      </w:r>
    </w:p>
    <w:p w14:paraId="0C9A531A" w14:textId="77777777" w:rsidR="00F646EB" w:rsidRPr="00354DFE" w:rsidRDefault="00F646EB" w:rsidP="00F646EB">
      <w:pPr>
        <w:pStyle w:val="Heading2"/>
        <w:spacing w:after="120"/>
      </w:pPr>
      <w:r w:rsidRPr="00354DFE">
        <w:t>EVALUATION</w:t>
      </w:r>
    </w:p>
    <w:p w14:paraId="1772BA01" w14:textId="2BC57820" w:rsidR="00F646EB" w:rsidRPr="000D47C7" w:rsidRDefault="00F646EB" w:rsidP="00F646EB">
      <w:pPr>
        <w:pStyle w:val="BodyText"/>
      </w:pPr>
      <w:r w:rsidRPr="00354DFE">
        <w:t xml:space="preserve">All policies will be reviewed every four years as part of the school’s cyclic review process. </w:t>
      </w:r>
    </w:p>
    <w:p w14:paraId="27567CA0" w14:textId="1D3AC0FC" w:rsidR="00F646EB" w:rsidRPr="004104AE" w:rsidRDefault="00F646EB" w:rsidP="00F646EB">
      <w:pPr>
        <w:pStyle w:val="BodyText"/>
      </w:pPr>
      <w:r w:rsidRPr="004104AE">
        <w:rPr>
          <w:noProof/>
        </w:rPr>
        <w:drawing>
          <wp:anchor distT="0" distB="0" distL="114300" distR="114300" simplePos="0" relativeHeight="251659264" behindDoc="0" locked="0" layoutInCell="0" allowOverlap="1" wp14:anchorId="7A753C39" wp14:editId="453855A7">
            <wp:simplePos x="0" y="0"/>
            <wp:positionH relativeFrom="column">
              <wp:posOffset>-137160</wp:posOffset>
            </wp:positionH>
            <wp:positionV relativeFrom="paragraph">
              <wp:posOffset>128905</wp:posOffset>
            </wp:positionV>
            <wp:extent cx="1126490" cy="10629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6490" cy="1062990"/>
                    </a:xfrm>
                    <a:prstGeom prst="rect">
                      <a:avLst/>
                    </a:prstGeom>
                    <a:noFill/>
                  </pic:spPr>
                </pic:pic>
              </a:graphicData>
            </a:graphic>
            <wp14:sizeRelH relativeFrom="page">
              <wp14:pctWidth>0</wp14:pctWidth>
            </wp14:sizeRelH>
            <wp14:sizeRelV relativeFrom="page">
              <wp14:pctHeight>0</wp14:pctHeight>
            </wp14:sizeRelV>
          </wp:anchor>
        </w:drawing>
      </w:r>
    </w:p>
    <w:p w14:paraId="3BF7CBCF" w14:textId="77777777" w:rsidR="00F646EB" w:rsidRDefault="00F646EB" w:rsidP="00F646EB">
      <w:pPr>
        <w:pStyle w:val="BodyText"/>
      </w:pPr>
      <w:r w:rsidRPr="004104AE">
        <w:tab/>
      </w:r>
      <w:r w:rsidRPr="004104AE">
        <w:tab/>
      </w:r>
    </w:p>
    <w:tbl>
      <w:tblPr>
        <w:tblStyle w:val="TableGrid"/>
        <w:tblpPr w:leftFromText="180" w:rightFromText="180" w:vertAnchor="text" w:horzAnchor="page" w:tblpX="3706" w:tblpY="-65"/>
        <w:tblW w:w="0" w:type="auto"/>
        <w:tblLayout w:type="fixed"/>
        <w:tblLook w:val="06A0" w:firstRow="1" w:lastRow="0" w:firstColumn="1" w:lastColumn="0" w:noHBand="1" w:noVBand="1"/>
      </w:tblPr>
      <w:tblGrid>
        <w:gridCol w:w="2830"/>
        <w:gridCol w:w="3402"/>
      </w:tblGrid>
      <w:tr w:rsidR="00702301" w14:paraId="272FC502" w14:textId="77777777" w:rsidTr="00702301">
        <w:tc>
          <w:tcPr>
            <w:tcW w:w="2830" w:type="dxa"/>
            <w:tcBorders>
              <w:top w:val="single" w:sz="4" w:space="0" w:color="auto"/>
              <w:left w:val="single" w:sz="4" w:space="0" w:color="auto"/>
              <w:bottom w:val="single" w:sz="4" w:space="0" w:color="auto"/>
              <w:right w:val="single" w:sz="4" w:space="0" w:color="auto"/>
            </w:tcBorders>
            <w:hideMark/>
          </w:tcPr>
          <w:p w14:paraId="5C988AB3" w14:textId="77777777" w:rsidR="00702301" w:rsidRDefault="00702301" w:rsidP="00702301">
            <w:pPr>
              <w:spacing w:after="0" w:line="240" w:lineRule="auto"/>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630DE5A5" w14:textId="6F21362C" w:rsidR="00702301" w:rsidRDefault="00702301" w:rsidP="00702301">
            <w:pPr>
              <w:rPr>
                <w:rFonts w:eastAsia="Calibri"/>
                <w:lang w:val="en-AU"/>
              </w:rPr>
            </w:pPr>
            <w:r>
              <w:rPr>
                <w:rFonts w:eastAsia="Calibri"/>
                <w:lang w:val="en-AU"/>
              </w:rPr>
              <w:t>October 2023</w:t>
            </w:r>
          </w:p>
        </w:tc>
      </w:tr>
      <w:tr w:rsidR="00702301" w14:paraId="0695441E" w14:textId="77777777" w:rsidTr="00702301">
        <w:tc>
          <w:tcPr>
            <w:tcW w:w="2830" w:type="dxa"/>
            <w:tcBorders>
              <w:top w:val="single" w:sz="4" w:space="0" w:color="auto"/>
              <w:left w:val="single" w:sz="4" w:space="0" w:color="auto"/>
              <w:bottom w:val="single" w:sz="4" w:space="0" w:color="auto"/>
              <w:right w:val="single" w:sz="4" w:space="0" w:color="auto"/>
            </w:tcBorders>
            <w:hideMark/>
          </w:tcPr>
          <w:p w14:paraId="6EA59DF0" w14:textId="77777777" w:rsidR="00702301" w:rsidRDefault="00702301" w:rsidP="00702301">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62A8F393" w14:textId="77777777" w:rsidR="00702301" w:rsidRDefault="00702301" w:rsidP="00702301">
            <w:pPr>
              <w:rPr>
                <w:rFonts w:eastAsia="Calibri"/>
                <w:lang w:val="en-AU"/>
              </w:rPr>
            </w:pPr>
            <w:r>
              <w:rPr>
                <w:rFonts w:eastAsia="Calibri"/>
                <w:lang w:val="en-AU"/>
              </w:rPr>
              <w:t xml:space="preserve">Principal </w:t>
            </w:r>
          </w:p>
        </w:tc>
      </w:tr>
      <w:tr w:rsidR="00702301" w14:paraId="5C86003D" w14:textId="77777777" w:rsidTr="00702301">
        <w:tc>
          <w:tcPr>
            <w:tcW w:w="2830" w:type="dxa"/>
            <w:tcBorders>
              <w:top w:val="single" w:sz="4" w:space="0" w:color="auto"/>
              <w:left w:val="single" w:sz="4" w:space="0" w:color="auto"/>
              <w:bottom w:val="single" w:sz="4" w:space="0" w:color="auto"/>
              <w:right w:val="single" w:sz="4" w:space="0" w:color="auto"/>
            </w:tcBorders>
            <w:hideMark/>
          </w:tcPr>
          <w:p w14:paraId="2762F416" w14:textId="77777777" w:rsidR="00702301" w:rsidRDefault="00702301" w:rsidP="00702301">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1A3ACAE2" w14:textId="6DECAD69" w:rsidR="00702301" w:rsidRDefault="00702301" w:rsidP="00702301">
            <w:pPr>
              <w:rPr>
                <w:rFonts w:eastAsia="Calibri"/>
                <w:lang w:val="en-AU"/>
              </w:rPr>
            </w:pPr>
            <w:r>
              <w:rPr>
                <w:rFonts w:eastAsia="Calibri"/>
                <w:lang w:val="en-AU"/>
              </w:rPr>
              <w:t>June 2027</w:t>
            </w:r>
          </w:p>
        </w:tc>
      </w:tr>
    </w:tbl>
    <w:p w14:paraId="7A49C5CA" w14:textId="604C7CE0" w:rsidR="00702301" w:rsidRPr="00F646EB" w:rsidRDefault="00702301" w:rsidP="00F646EB"/>
    <w:sectPr w:rsidR="00B34C8B" w:rsidRPr="00F646EB" w:rsidSect="00F646EB">
      <w:headerReference w:type="even" r:id="rId28"/>
      <w:headerReference w:type="default" r:id="rId29"/>
      <w:footerReference w:type="even" r:id="rId30"/>
      <w:footerReference w:type="default" r:id="rId31"/>
      <w:headerReference w:type="first" r:id="rId32"/>
      <w:footerReference w:type="first" r:id="rId33"/>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0A75" w14:textId="77777777" w:rsidR="00743586" w:rsidRDefault="00743586" w:rsidP="00B409DF">
      <w:pPr>
        <w:spacing w:after="0" w:line="240" w:lineRule="auto"/>
      </w:pPr>
      <w:r>
        <w:separator/>
      </w:r>
    </w:p>
  </w:endnote>
  <w:endnote w:type="continuationSeparator" w:id="0">
    <w:p w14:paraId="023B8029"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4DBF" w14:textId="77777777" w:rsidR="00E02B8A" w:rsidRDefault="00E0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D402" w14:textId="3964F092" w:rsidR="00B409DF" w:rsidRDefault="00F646EB">
    <w:pPr>
      <w:pStyle w:val="Footer"/>
    </w:pPr>
    <w:r>
      <w:rPr>
        <w:noProof/>
        <w:lang w:eastAsia="en-GB"/>
      </w:rPr>
      <w:drawing>
        <wp:anchor distT="0" distB="0" distL="114300" distR="114300" simplePos="0" relativeHeight="251660288" behindDoc="1" locked="0" layoutInCell="1" allowOverlap="1" wp14:anchorId="5DFF96C1" wp14:editId="35F0EA4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E02B8A">
      <w:tab/>
    </w:r>
    <w:r w:rsidR="00E02B8A">
      <w:tab/>
    </w:r>
    <w:r w:rsidR="00E02B8A">
      <w:rPr>
        <w:color w:val="7F7F7F" w:themeColor="background1" w:themeShade="7F"/>
        <w:spacing w:val="60"/>
      </w:rPr>
      <w:t>Page</w:t>
    </w:r>
    <w:r w:rsidR="00E02B8A">
      <w:t xml:space="preserve"> | </w:t>
    </w:r>
    <w:r w:rsidR="00E02B8A">
      <w:fldChar w:fldCharType="begin"/>
    </w:r>
    <w:r w:rsidR="00E02B8A">
      <w:instrText xml:space="preserve"> PAGE   \* MERGEFORMAT </w:instrText>
    </w:r>
    <w:r w:rsidR="00E02B8A">
      <w:fldChar w:fldCharType="separate"/>
    </w:r>
    <w:r w:rsidR="00E02B8A">
      <w:rPr>
        <w:b/>
        <w:bCs/>
        <w:noProof/>
      </w:rPr>
      <w:t>1</w:t>
    </w:r>
    <w:r w:rsidR="00E02B8A">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9E37" w14:textId="77777777" w:rsidR="00E02B8A" w:rsidRDefault="00E0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DC5A" w14:textId="77777777" w:rsidR="00743586" w:rsidRDefault="00743586" w:rsidP="00B409DF">
      <w:pPr>
        <w:spacing w:after="0" w:line="240" w:lineRule="auto"/>
      </w:pPr>
      <w:r>
        <w:separator/>
      </w:r>
    </w:p>
  </w:footnote>
  <w:footnote w:type="continuationSeparator" w:id="0">
    <w:p w14:paraId="059EA04F"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2E98" w14:textId="77777777" w:rsidR="00E02B8A" w:rsidRDefault="00E02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2759" w14:textId="4662140B"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59EE1882" wp14:editId="1E2F0DBE">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762E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AA9E3E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298E04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DE193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1D5684D"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EE1882"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314762E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AA9E3E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298E04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DE193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1D5684D"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F646EB">
      <w:rPr>
        <w:noProof/>
        <w:lang w:eastAsia="en-GB"/>
      </w:rPr>
      <w:drawing>
        <wp:anchor distT="0" distB="0" distL="114300" distR="114300" simplePos="0" relativeHeight="251658240" behindDoc="1" locked="0" layoutInCell="1" allowOverlap="1" wp14:anchorId="0E2EF5B0" wp14:editId="1250F20A">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F646EB">
      <w:rPr>
        <w:noProof/>
        <w:lang w:eastAsia="en-GB"/>
      </w:rPr>
      <w:drawing>
        <wp:anchor distT="0" distB="0" distL="114300" distR="114300" simplePos="0" relativeHeight="251659264" behindDoc="1" locked="0" layoutInCell="1" allowOverlap="1" wp14:anchorId="3A94153D" wp14:editId="4E6118D1">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322D" w14:textId="77777777" w:rsidR="00E02B8A" w:rsidRDefault="00E0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A75"/>
    <w:multiLevelType w:val="multilevel"/>
    <w:tmpl w:val="B552B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FA4198"/>
    <w:multiLevelType w:val="hybridMultilevel"/>
    <w:tmpl w:val="B0486EB6"/>
    <w:lvl w:ilvl="0" w:tplc="EF565E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D71DCB"/>
    <w:multiLevelType w:val="hybridMultilevel"/>
    <w:tmpl w:val="5DB8D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C23640"/>
    <w:multiLevelType w:val="hybridMultilevel"/>
    <w:tmpl w:val="033A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640AA0"/>
    <w:multiLevelType w:val="hybridMultilevel"/>
    <w:tmpl w:val="D74ABC4E"/>
    <w:lvl w:ilvl="0" w:tplc="0C090001">
      <w:start w:val="1"/>
      <w:numFmt w:val="bullet"/>
      <w:lvlText w:val=""/>
      <w:lvlJc w:val="left"/>
      <w:pPr>
        <w:ind w:left="720" w:hanging="360"/>
      </w:pPr>
      <w:rPr>
        <w:rFonts w:ascii="Symbol" w:hAnsi="Symbol" w:hint="default"/>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025F94"/>
    <w:multiLevelType w:val="hybridMultilevel"/>
    <w:tmpl w:val="D3388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FF3597"/>
    <w:multiLevelType w:val="hybridMultilevel"/>
    <w:tmpl w:val="1C02C46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7692C"/>
    <w:multiLevelType w:val="multilevel"/>
    <w:tmpl w:val="0F2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211199">
    <w:abstractNumId w:val="8"/>
  </w:num>
  <w:num w:numId="2" w16cid:durableId="902525371">
    <w:abstractNumId w:val="7"/>
  </w:num>
  <w:num w:numId="3" w16cid:durableId="926156378">
    <w:abstractNumId w:val="4"/>
  </w:num>
  <w:num w:numId="4" w16cid:durableId="1316106548">
    <w:abstractNumId w:val="6"/>
  </w:num>
  <w:num w:numId="5" w16cid:durableId="1674137542">
    <w:abstractNumId w:val="2"/>
  </w:num>
  <w:num w:numId="6" w16cid:durableId="871382269">
    <w:abstractNumId w:val="3"/>
  </w:num>
  <w:num w:numId="7" w16cid:durableId="39012449">
    <w:abstractNumId w:val="5"/>
  </w:num>
  <w:num w:numId="8" w16cid:durableId="1725324960">
    <w:abstractNumId w:val="1"/>
  </w:num>
  <w:num w:numId="9" w16cid:durableId="51446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18149B"/>
    <w:rsid w:val="00264341"/>
    <w:rsid w:val="0034518C"/>
    <w:rsid w:val="00350C57"/>
    <w:rsid w:val="00382D0C"/>
    <w:rsid w:val="00442918"/>
    <w:rsid w:val="006017E9"/>
    <w:rsid w:val="006561B7"/>
    <w:rsid w:val="00702301"/>
    <w:rsid w:val="00705209"/>
    <w:rsid w:val="00743586"/>
    <w:rsid w:val="007B0EBE"/>
    <w:rsid w:val="00A94E1C"/>
    <w:rsid w:val="00B409DF"/>
    <w:rsid w:val="00C90000"/>
    <w:rsid w:val="00D44694"/>
    <w:rsid w:val="00DC4D23"/>
    <w:rsid w:val="00DF6C64"/>
    <w:rsid w:val="00E02B8A"/>
    <w:rsid w:val="00E23B1B"/>
    <w:rsid w:val="00E97980"/>
    <w:rsid w:val="00EF3038"/>
    <w:rsid w:val="00F23243"/>
    <w:rsid w:val="00F646EB"/>
    <w:rsid w:val="00FE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949A0"/>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6EB"/>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qFormat/>
    <w:rsid w:val="00F646EB"/>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F646EB"/>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rsid w:val="00F646EB"/>
    <w:rPr>
      <w:rFonts w:ascii="Times New Roman" w:eastAsia="Times New Roman" w:hAnsi="Times New Roman" w:cs="Times New Roman"/>
      <w:b/>
      <w:sz w:val="28"/>
      <w:szCs w:val="20"/>
      <w:u w:val="single"/>
      <w:lang w:val="en-US"/>
    </w:rPr>
  </w:style>
  <w:style w:type="paragraph" w:styleId="BodyText">
    <w:name w:val="Body Text"/>
    <w:basedOn w:val="Normal"/>
    <w:link w:val="BodyTextChar"/>
    <w:rsid w:val="00F646EB"/>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F646EB"/>
    <w:rPr>
      <w:rFonts w:ascii="Times New Roman" w:eastAsia="Times New Roman" w:hAnsi="Times New Roman" w:cs="Times New Roman"/>
      <w:sz w:val="24"/>
      <w:szCs w:val="20"/>
      <w:lang w:val="en-US"/>
    </w:rPr>
  </w:style>
  <w:style w:type="paragraph" w:customStyle="1" w:styleId="p1">
    <w:name w:val="p1"/>
    <w:basedOn w:val="Normal"/>
    <w:uiPriority w:val="99"/>
    <w:rsid w:val="00F646EB"/>
    <w:pPr>
      <w:widowControl w:val="0"/>
      <w:tabs>
        <w:tab w:val="left" w:pos="900"/>
      </w:tabs>
      <w:spacing w:after="0" w:line="520" w:lineRule="atLeast"/>
    </w:pPr>
    <w:rPr>
      <w:rFonts w:ascii="Times New Roman" w:eastAsia="Calibri" w:hAnsi="Times New Roman" w:cs="Times New Roman"/>
      <w:sz w:val="24"/>
      <w:szCs w:val="20"/>
      <w:lang w:val="en-AU"/>
    </w:rPr>
  </w:style>
  <w:style w:type="paragraph" w:customStyle="1" w:styleId="Bullet1">
    <w:name w:val="Bullet 1"/>
    <w:basedOn w:val="Normal"/>
    <w:next w:val="Normal"/>
    <w:qFormat/>
    <w:rsid w:val="00F646EB"/>
    <w:pPr>
      <w:numPr>
        <w:numId w:val="2"/>
      </w:numPr>
      <w:tabs>
        <w:tab w:val="num" w:pos="720"/>
      </w:tabs>
      <w:spacing w:after="120" w:line="240" w:lineRule="auto"/>
    </w:pPr>
    <w:rPr>
      <w:rFonts w:ascii="Calibri" w:eastAsia="Calibri" w:hAnsi="Calibri" w:cs="Times New Roman"/>
      <w:szCs w:val="24"/>
      <w:lang w:val="en-AU"/>
    </w:rPr>
  </w:style>
  <w:style w:type="paragraph" w:styleId="ListParagraph">
    <w:name w:val="List Paragraph"/>
    <w:basedOn w:val="Normal"/>
    <w:uiPriority w:val="34"/>
    <w:qFormat/>
    <w:rsid w:val="00382D0C"/>
    <w:pPr>
      <w:ind w:left="720"/>
      <w:contextualSpacing/>
    </w:pPr>
    <w:rPr>
      <w:lang w:val="en-AU"/>
    </w:rPr>
  </w:style>
  <w:style w:type="character" w:styleId="Hyperlink">
    <w:name w:val="Hyperlink"/>
    <w:basedOn w:val="DefaultParagraphFont"/>
    <w:uiPriority w:val="99"/>
    <w:unhideWhenUsed/>
    <w:rsid w:val="00382D0C"/>
    <w:rPr>
      <w:color w:val="0000FF"/>
      <w:u w:val="single"/>
    </w:rPr>
  </w:style>
  <w:style w:type="table" w:customStyle="1" w:styleId="TableGrid1">
    <w:name w:val="Table Grid1"/>
    <w:basedOn w:val="TableNormal"/>
    <w:next w:val="TableGrid"/>
    <w:uiPriority w:val="39"/>
    <w:rsid w:val="00382D0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D0C"/>
    <w:pPr>
      <w:autoSpaceDE w:val="0"/>
      <w:autoSpaceDN w:val="0"/>
      <w:adjustRightInd w:val="0"/>
      <w:spacing w:after="0" w:line="240" w:lineRule="auto"/>
    </w:pPr>
    <w:rPr>
      <w:rFonts w:ascii="Arial" w:hAnsi="Arial" w:cs="Arial"/>
      <w:color w:val="000000"/>
      <w:sz w:val="24"/>
      <w:szCs w:val="24"/>
      <w:lang w:val="en-AU"/>
    </w:rPr>
  </w:style>
  <w:style w:type="table" w:styleId="TableGrid">
    <w:name w:val="Table Grid"/>
    <w:basedOn w:val="TableNormal"/>
    <w:uiPriority w:val="39"/>
    <w:rsid w:val="0038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6E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7605">
      <w:bodyDiv w:val="1"/>
      <w:marLeft w:val="0"/>
      <w:marRight w:val="0"/>
      <w:marTop w:val="0"/>
      <w:marBottom w:val="0"/>
      <w:divBdr>
        <w:top w:val="none" w:sz="0" w:space="0" w:color="auto"/>
        <w:left w:val="none" w:sz="0" w:space="0" w:color="auto"/>
        <w:bottom w:val="none" w:sz="0" w:space="0" w:color="auto"/>
        <w:right w:val="none" w:sz="0" w:space="0" w:color="auto"/>
      </w:divBdr>
    </w:div>
    <w:div w:id="16504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reporting-student-achievement/policy" TargetMode="External"/><Relationship Id="rId18" Type="http://schemas.openxmlformats.org/officeDocument/2006/relationships/hyperlink" Target="https://www2.education.vic.gov.au/pal/fiso/policy" TargetMode="External"/><Relationship Id="rId26" Type="http://schemas.openxmlformats.org/officeDocument/2006/relationships/hyperlink" Target="https://www2.education.vic.gov.au/pal/school-hours/policy" TargetMode="External"/><Relationship Id="rId3" Type="http://schemas.openxmlformats.org/officeDocument/2006/relationships/settings" Target="settings.xml"/><Relationship Id="rId21" Type="http://schemas.openxmlformats.org/officeDocument/2006/relationships/hyperlink" Target="https://www2.education.vic.gov.au/pal/languages-education/policy"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2.education.vic.gov.au/pal/sexuality-education/policy" TargetMode="External"/><Relationship Id="rId17" Type="http://schemas.openxmlformats.org/officeDocument/2006/relationships/hyperlink" Target="https://www2.education.vic.gov.au/pal/curriculum-programs/policy" TargetMode="External"/><Relationship Id="rId25" Type="http://schemas.openxmlformats.org/officeDocument/2006/relationships/hyperlink" Target="https://www2.education.vic.gov.au/pal/sexuality-education/policy"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2.education.vic.gov.au/pal/fiso/policy" TargetMode="External"/><Relationship Id="rId20" Type="http://schemas.openxmlformats.org/officeDocument/2006/relationships/hyperlink" Target="https://www2.education.vic.gov.au/pal/koorie-education/policy"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physical-and-sport-education-delivery-requirements/policy" TargetMode="External"/><Relationship Id="rId24" Type="http://schemas.openxmlformats.org/officeDocument/2006/relationships/hyperlink" Target="https://www2.education.vic.gov.au/pal/reporting-student-achievement/polic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ictoriancurriculum.vcaa.vic.edu.au/english/english-as-an-additional-language-eal/introduction/rationale-and-aims" TargetMode="External"/><Relationship Id="rId23" Type="http://schemas.openxmlformats.org/officeDocument/2006/relationships/hyperlink" Target="https://www2.education.vic.gov.au/pal/holocaust-education-delivery-requirements/policy" TargetMode="External"/><Relationship Id="rId28" Type="http://schemas.openxmlformats.org/officeDocument/2006/relationships/header" Target="header1.xml"/><Relationship Id="rId10" Type="http://schemas.openxmlformats.org/officeDocument/2006/relationships/hyperlink" Target="https://www2.education.vic.gov.au/pal/reporting-student-achievement/policy" TargetMode="External"/><Relationship Id="rId19" Type="http://schemas.openxmlformats.org/officeDocument/2006/relationships/hyperlink" Target="https://www2.education.vic.gov.au/pal/students-disability/polic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vcaa.vic.edu.au/Documents/viccurric/RevisedF-10CurriculumPlanningReportingGuidelines.pdf" TargetMode="External"/><Relationship Id="rId14" Type="http://schemas.openxmlformats.org/officeDocument/2006/relationships/hyperlink" Target="https://www.vcaa.vic.edu.au/curriculum/foundation-10/Pages/default.aspx?Redirect=2" TargetMode="External"/><Relationship Id="rId22" Type="http://schemas.openxmlformats.org/officeDocument/2006/relationships/hyperlink" Target="https://www2.education.vic.gov.au/pal/physical-and-sport-education-delivery-requirements/policy" TargetMode="External"/><Relationship Id="rId27" Type="http://schemas.openxmlformats.org/officeDocument/2006/relationships/image" Target="media/image2.e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victoriancurriculum.vcaa.vic.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10</cp:revision>
  <cp:lastPrinted>2023-12-12T00:40:00Z</cp:lastPrinted>
  <dcterms:created xsi:type="dcterms:W3CDTF">2023-10-03T05:35:00Z</dcterms:created>
  <dcterms:modified xsi:type="dcterms:W3CDTF">2023-12-12T00:41:00Z</dcterms:modified>
</cp:coreProperties>
</file>